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eastAsia="方正小标宋_GBK"/>
          <w:sz w:val="38"/>
          <w:szCs w:val="38"/>
        </w:rPr>
      </w:pPr>
      <w:r>
        <w:rPr>
          <w:rFonts w:eastAsia="方正小标宋_GBK"/>
          <w:sz w:val="38"/>
          <w:szCs w:val="38"/>
        </w:rPr>
        <w:t>攀枝花市市本级行政权力清单（2019年本）</w:t>
      </w:r>
    </w:p>
    <w:tbl>
      <w:tblPr>
        <w:tblStyle w:val="3"/>
        <w:tblW w:w="9720" w:type="dxa"/>
        <w:tblInd w:w="-700" w:type="dxa"/>
        <w:tblLayout w:type="fixed"/>
        <w:tblCellMar>
          <w:top w:w="0" w:type="dxa"/>
          <w:left w:w="108" w:type="dxa"/>
          <w:bottom w:w="0" w:type="dxa"/>
          <w:right w:w="108" w:type="dxa"/>
        </w:tblCellMar>
      </w:tblPr>
      <w:tblGrid>
        <w:gridCol w:w="2308"/>
        <w:gridCol w:w="572"/>
        <w:gridCol w:w="1164"/>
        <w:gridCol w:w="4660"/>
        <w:gridCol w:w="1016"/>
      </w:tblGrid>
      <w:tr>
        <w:tblPrEx>
          <w:tblLayout w:type="fixed"/>
          <w:tblCellMar>
            <w:top w:w="0" w:type="dxa"/>
            <w:left w:w="108" w:type="dxa"/>
            <w:bottom w:w="0" w:type="dxa"/>
            <w:right w:w="108" w:type="dxa"/>
          </w:tblCellMar>
        </w:tblPrEx>
        <w:trPr>
          <w:trHeight w:val="402" w:hRule="atLeast"/>
        </w:trPr>
        <w:tc>
          <w:tcPr>
            <w:tcW w:w="9720" w:type="dxa"/>
            <w:gridSpan w:val="5"/>
            <w:tcBorders>
              <w:top w:val="nil"/>
              <w:left w:val="nil"/>
              <w:bottom w:val="nil"/>
              <w:right w:val="nil"/>
            </w:tcBorders>
            <w:shd w:val="clear" w:color="auto" w:fill="auto"/>
            <w:noWrap w:val="0"/>
            <w:vAlign w:val="center"/>
          </w:tcPr>
          <w:p>
            <w:pPr>
              <w:widowControl/>
              <w:jc w:val="left"/>
              <w:rPr>
                <w:rFonts w:eastAsia="方正小标宋简体"/>
                <w:kern w:val="0"/>
                <w:sz w:val="28"/>
                <w:szCs w:val="28"/>
              </w:rPr>
            </w:pPr>
            <w:r>
              <w:rPr>
                <w:rFonts w:eastAsia="方正小标宋简体"/>
                <w:kern w:val="0"/>
                <w:sz w:val="28"/>
                <w:szCs w:val="28"/>
              </w:rPr>
              <w:t>一、行政许可（292项）</w:t>
            </w:r>
          </w:p>
        </w:tc>
      </w:tr>
      <w:tr>
        <w:tblPrEx>
          <w:tblLayout w:type="fixed"/>
          <w:tblCellMar>
            <w:top w:w="0" w:type="dxa"/>
            <w:left w:w="108" w:type="dxa"/>
            <w:bottom w:w="0" w:type="dxa"/>
            <w:right w:w="108" w:type="dxa"/>
          </w:tblCellMar>
        </w:tblPrEx>
        <w:trPr>
          <w:trHeight w:val="660"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b/>
                <w:bCs/>
                <w:kern w:val="0"/>
                <w:sz w:val="22"/>
                <w:szCs w:val="22"/>
              </w:rPr>
            </w:pPr>
            <w:r>
              <w:rPr>
                <w:rFonts w:hAnsi="宋体"/>
                <w:b/>
                <w:bCs/>
                <w:kern w:val="0"/>
                <w:sz w:val="22"/>
                <w:szCs w:val="22"/>
              </w:rPr>
              <w:t>市级业务主管部门（单位）</w:t>
            </w:r>
          </w:p>
        </w:tc>
        <w:tc>
          <w:tcPr>
            <w:tcW w:w="57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b/>
                <w:bCs/>
                <w:kern w:val="0"/>
                <w:sz w:val="22"/>
                <w:szCs w:val="22"/>
              </w:rPr>
            </w:pPr>
            <w:r>
              <w:rPr>
                <w:rFonts w:hAnsi="宋体"/>
                <w:b/>
                <w:bCs/>
                <w:kern w:val="0"/>
                <w:sz w:val="22"/>
                <w:szCs w:val="22"/>
              </w:rPr>
              <w:t>序号</w:t>
            </w:r>
          </w:p>
        </w:tc>
        <w:tc>
          <w:tcPr>
            <w:tcW w:w="116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b/>
                <w:bCs/>
                <w:kern w:val="0"/>
                <w:sz w:val="22"/>
                <w:szCs w:val="22"/>
              </w:rPr>
            </w:pPr>
            <w:r>
              <w:rPr>
                <w:rFonts w:hAnsi="宋体"/>
                <w:b/>
                <w:bCs/>
                <w:kern w:val="0"/>
                <w:sz w:val="22"/>
                <w:szCs w:val="22"/>
              </w:rPr>
              <w:t>权力类型</w:t>
            </w:r>
          </w:p>
        </w:tc>
        <w:tc>
          <w:tcPr>
            <w:tcW w:w="46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b/>
                <w:bCs/>
                <w:kern w:val="0"/>
                <w:sz w:val="22"/>
                <w:szCs w:val="22"/>
              </w:rPr>
            </w:pPr>
            <w:r>
              <w:rPr>
                <w:rFonts w:hAnsi="宋体"/>
                <w:b/>
                <w:bCs/>
                <w:kern w:val="0"/>
                <w:sz w:val="22"/>
                <w:szCs w:val="22"/>
              </w:rPr>
              <w:t>权力名称</w:t>
            </w:r>
          </w:p>
        </w:tc>
        <w:tc>
          <w:tcPr>
            <w:tcW w:w="10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b/>
                <w:bCs/>
                <w:kern w:val="0"/>
                <w:sz w:val="22"/>
                <w:szCs w:val="22"/>
              </w:rPr>
            </w:pPr>
            <w:r>
              <w:rPr>
                <w:rFonts w:hAnsi="宋体"/>
                <w:b/>
                <w:bCs/>
                <w:kern w:val="0"/>
                <w:sz w:val="22"/>
                <w:szCs w:val="22"/>
              </w:rPr>
              <w:t>备注</w:t>
            </w:r>
          </w:p>
        </w:tc>
      </w:tr>
      <w:tr>
        <w:tblPrEx>
          <w:tblLayout w:type="fixed"/>
          <w:tblCellMar>
            <w:top w:w="0" w:type="dxa"/>
            <w:left w:w="108" w:type="dxa"/>
            <w:bottom w:w="0" w:type="dxa"/>
            <w:right w:w="108" w:type="dxa"/>
          </w:tblCellMar>
        </w:tblPrEx>
        <w:trPr>
          <w:trHeight w:val="480" w:hRule="atLeast"/>
        </w:trPr>
        <w:tc>
          <w:tcPr>
            <w:tcW w:w="230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rFonts w:hAnsi="宋体"/>
                <w:kern w:val="0"/>
                <w:sz w:val="22"/>
                <w:szCs w:val="22"/>
              </w:rPr>
              <w:t>市发展和改革委员会</w:t>
            </w:r>
          </w:p>
        </w:tc>
        <w:tc>
          <w:tcPr>
            <w:tcW w:w="572"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13</w:t>
            </w:r>
          </w:p>
        </w:tc>
        <w:tc>
          <w:tcPr>
            <w:tcW w:w="116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rFonts w:hAnsi="宋体"/>
                <w:kern w:val="0"/>
                <w:sz w:val="22"/>
                <w:szCs w:val="22"/>
              </w:rPr>
              <w:t>行政许可</w:t>
            </w:r>
          </w:p>
        </w:tc>
        <w:tc>
          <w:tcPr>
            <w:tcW w:w="4660" w:type="dxa"/>
            <w:tcBorders>
              <w:top w:val="nil"/>
              <w:left w:val="nil"/>
              <w:bottom w:val="single" w:color="auto" w:sz="4" w:space="0"/>
              <w:right w:val="single" w:color="auto" w:sz="4" w:space="0"/>
            </w:tcBorders>
            <w:shd w:val="clear" w:color="auto" w:fill="auto"/>
            <w:noWrap w:val="0"/>
            <w:vAlign w:val="center"/>
          </w:tcPr>
          <w:p>
            <w:pPr>
              <w:widowControl/>
              <w:rPr>
                <w:color w:val="000000"/>
                <w:kern w:val="0"/>
                <w:sz w:val="22"/>
                <w:szCs w:val="22"/>
              </w:rPr>
            </w:pPr>
            <w:r>
              <w:rPr>
                <w:rFonts w:hAnsi="宋体"/>
                <w:color w:val="000000"/>
                <w:kern w:val="0"/>
                <w:sz w:val="22"/>
                <w:szCs w:val="22"/>
              </w:rPr>
              <w:t>企业投资项目核准</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r>
              <w:rPr>
                <w:rFonts w:hAnsi="宋体"/>
                <w:kern w:val="0"/>
                <w:sz w:val="20"/>
                <w:szCs w:val="20"/>
              </w:rPr>
              <w:t>技术改造类除外</w:t>
            </w:r>
          </w:p>
        </w:tc>
      </w:tr>
      <w:tr>
        <w:tblPrEx>
          <w:tblLayout w:type="fixed"/>
          <w:tblCellMar>
            <w:top w:w="0" w:type="dxa"/>
            <w:left w:w="108" w:type="dxa"/>
            <w:bottom w:w="0" w:type="dxa"/>
            <w:right w:w="108" w:type="dxa"/>
          </w:tblCellMar>
        </w:tblPrEx>
        <w:trPr>
          <w:trHeight w:val="795" w:hRule="atLeast"/>
        </w:trPr>
        <w:tc>
          <w:tcPr>
            <w:tcW w:w="230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rFonts w:hAnsi="宋体"/>
                <w:kern w:val="0"/>
                <w:sz w:val="22"/>
                <w:szCs w:val="22"/>
              </w:rPr>
              <w:t>市发展和改革委员会</w:t>
            </w:r>
          </w:p>
        </w:tc>
        <w:tc>
          <w:tcPr>
            <w:tcW w:w="572"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14</w:t>
            </w:r>
          </w:p>
        </w:tc>
        <w:tc>
          <w:tcPr>
            <w:tcW w:w="116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rFonts w:hAnsi="宋体"/>
                <w:kern w:val="0"/>
                <w:sz w:val="22"/>
                <w:szCs w:val="22"/>
              </w:rPr>
              <w:t>行政许可</w:t>
            </w:r>
          </w:p>
        </w:tc>
        <w:tc>
          <w:tcPr>
            <w:tcW w:w="4660" w:type="dxa"/>
            <w:tcBorders>
              <w:top w:val="nil"/>
              <w:left w:val="nil"/>
              <w:bottom w:val="single" w:color="auto" w:sz="4" w:space="0"/>
              <w:right w:val="single" w:color="auto" w:sz="4" w:space="0"/>
            </w:tcBorders>
            <w:shd w:val="clear" w:color="auto" w:fill="auto"/>
            <w:noWrap w:val="0"/>
            <w:vAlign w:val="center"/>
          </w:tcPr>
          <w:p>
            <w:pPr>
              <w:widowControl/>
              <w:rPr>
                <w:color w:val="000000"/>
                <w:kern w:val="0"/>
                <w:sz w:val="22"/>
                <w:szCs w:val="22"/>
              </w:rPr>
            </w:pPr>
            <w:r>
              <w:rPr>
                <w:rFonts w:hAnsi="宋体"/>
                <w:color w:val="000000"/>
                <w:kern w:val="0"/>
                <w:sz w:val="22"/>
                <w:szCs w:val="22"/>
              </w:rPr>
              <w:t>固定资产投资项目节能审查</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r>
              <w:rPr>
                <w:rFonts w:hAnsi="宋体"/>
                <w:kern w:val="0"/>
                <w:sz w:val="20"/>
                <w:szCs w:val="20"/>
              </w:rPr>
              <w:t>企业技术改造项目除外</w:t>
            </w:r>
          </w:p>
        </w:tc>
      </w:tr>
      <w:tr>
        <w:tblPrEx>
          <w:tblLayout w:type="fixed"/>
          <w:tblCellMar>
            <w:top w:w="0" w:type="dxa"/>
            <w:left w:w="108" w:type="dxa"/>
            <w:bottom w:w="0" w:type="dxa"/>
            <w:right w:w="108" w:type="dxa"/>
          </w:tblCellMar>
        </w:tblPrEx>
        <w:trPr>
          <w:trHeight w:val="270" w:hRule="atLeast"/>
        </w:trPr>
        <w:tc>
          <w:tcPr>
            <w:tcW w:w="230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rFonts w:hAnsi="宋体"/>
                <w:kern w:val="0"/>
                <w:sz w:val="22"/>
                <w:szCs w:val="22"/>
              </w:rPr>
              <w:t>市发展和改革委员会</w:t>
            </w:r>
          </w:p>
        </w:tc>
        <w:tc>
          <w:tcPr>
            <w:tcW w:w="572"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15</w:t>
            </w:r>
          </w:p>
        </w:tc>
        <w:tc>
          <w:tcPr>
            <w:tcW w:w="116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rFonts w:hAnsi="宋体"/>
                <w:kern w:val="0"/>
                <w:sz w:val="22"/>
                <w:szCs w:val="22"/>
              </w:rPr>
              <w:t>行政许可</w:t>
            </w:r>
          </w:p>
        </w:tc>
        <w:tc>
          <w:tcPr>
            <w:tcW w:w="4660" w:type="dxa"/>
            <w:tcBorders>
              <w:top w:val="nil"/>
              <w:left w:val="nil"/>
              <w:bottom w:val="single" w:color="auto" w:sz="4" w:space="0"/>
              <w:right w:val="single" w:color="auto" w:sz="4" w:space="0"/>
            </w:tcBorders>
            <w:shd w:val="clear" w:color="auto" w:fill="auto"/>
            <w:noWrap w:val="0"/>
            <w:vAlign w:val="center"/>
          </w:tcPr>
          <w:p>
            <w:pPr>
              <w:widowControl/>
              <w:rPr>
                <w:kern w:val="0"/>
                <w:sz w:val="22"/>
                <w:szCs w:val="22"/>
              </w:rPr>
            </w:pPr>
            <w:r>
              <w:rPr>
                <w:rFonts w:hAnsi="宋体"/>
                <w:kern w:val="0"/>
                <w:sz w:val="22"/>
                <w:szCs w:val="22"/>
              </w:rPr>
              <w:t>粮食收购资格认定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r>
              <w:rPr>
                <w:rFonts w:hAnsi="Calibri"/>
                <w:kern w:val="0"/>
                <w:sz w:val="20"/>
                <w:szCs w:val="20"/>
              </w:rPr>
              <w:t>　</w:t>
            </w:r>
          </w:p>
        </w:tc>
      </w:tr>
      <w:tr>
        <w:tblPrEx>
          <w:tblLayout w:type="fixed"/>
          <w:tblCellMar>
            <w:top w:w="0" w:type="dxa"/>
            <w:left w:w="108" w:type="dxa"/>
            <w:bottom w:w="0" w:type="dxa"/>
            <w:right w:w="108" w:type="dxa"/>
          </w:tblCellMar>
        </w:tblPrEx>
        <w:trPr>
          <w:trHeight w:val="270" w:hRule="atLeast"/>
        </w:trPr>
        <w:tc>
          <w:tcPr>
            <w:tcW w:w="230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rFonts w:hAnsi="宋体"/>
                <w:kern w:val="0"/>
                <w:sz w:val="22"/>
                <w:szCs w:val="22"/>
              </w:rPr>
              <w:t>市发展和改革委员会</w:t>
            </w:r>
          </w:p>
        </w:tc>
        <w:tc>
          <w:tcPr>
            <w:tcW w:w="572"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16</w:t>
            </w:r>
          </w:p>
        </w:tc>
        <w:tc>
          <w:tcPr>
            <w:tcW w:w="116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rFonts w:hAnsi="宋体"/>
                <w:kern w:val="0"/>
                <w:sz w:val="22"/>
                <w:szCs w:val="22"/>
              </w:rPr>
              <w:t>行政许可</w:t>
            </w:r>
          </w:p>
        </w:tc>
        <w:tc>
          <w:tcPr>
            <w:tcW w:w="4660" w:type="dxa"/>
            <w:tcBorders>
              <w:top w:val="nil"/>
              <w:left w:val="nil"/>
              <w:bottom w:val="single" w:color="auto" w:sz="4" w:space="0"/>
              <w:right w:val="single" w:color="auto" w:sz="4" w:space="0"/>
            </w:tcBorders>
            <w:shd w:val="clear" w:color="auto" w:fill="auto"/>
            <w:noWrap w:val="0"/>
            <w:vAlign w:val="center"/>
          </w:tcPr>
          <w:p>
            <w:pPr>
              <w:widowControl/>
              <w:rPr>
                <w:kern w:val="0"/>
                <w:sz w:val="22"/>
                <w:szCs w:val="22"/>
              </w:rPr>
            </w:pPr>
            <w:r>
              <w:rPr>
                <w:rFonts w:hAnsi="宋体"/>
                <w:kern w:val="0"/>
                <w:sz w:val="22"/>
                <w:szCs w:val="22"/>
              </w:rPr>
              <w:t>国家及省市核准的水电站项目竣工验收</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r>
              <w:rPr>
                <w:rFonts w:hAnsi="Calibri"/>
                <w:kern w:val="0"/>
                <w:sz w:val="20"/>
                <w:szCs w:val="20"/>
              </w:rPr>
              <w:t>　</w:t>
            </w:r>
          </w:p>
        </w:tc>
      </w:tr>
      <w:tr>
        <w:tblPrEx>
          <w:tblLayout w:type="fixed"/>
          <w:tblCellMar>
            <w:top w:w="0" w:type="dxa"/>
            <w:left w:w="108" w:type="dxa"/>
            <w:bottom w:w="0" w:type="dxa"/>
            <w:right w:w="108" w:type="dxa"/>
          </w:tblCellMar>
        </w:tblPrEx>
        <w:trPr>
          <w:trHeight w:val="270" w:hRule="atLeast"/>
        </w:trPr>
        <w:tc>
          <w:tcPr>
            <w:tcW w:w="230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rFonts w:hAnsi="宋体"/>
                <w:kern w:val="0"/>
                <w:sz w:val="22"/>
                <w:szCs w:val="22"/>
              </w:rPr>
              <w:t>市发展和改革委员会</w:t>
            </w:r>
          </w:p>
        </w:tc>
        <w:tc>
          <w:tcPr>
            <w:tcW w:w="572"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17</w:t>
            </w:r>
          </w:p>
        </w:tc>
        <w:tc>
          <w:tcPr>
            <w:tcW w:w="1164"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rFonts w:hAnsi="宋体"/>
                <w:kern w:val="0"/>
                <w:sz w:val="22"/>
                <w:szCs w:val="22"/>
              </w:rPr>
              <w:t>行政许可</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rFonts w:hAnsi="宋体"/>
                <w:kern w:val="0"/>
                <w:sz w:val="22"/>
                <w:szCs w:val="22"/>
              </w:rPr>
              <w:t>石油天然气管道受限制区域施工保护方案许可</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0"/>
                <w:szCs w:val="20"/>
              </w:rPr>
            </w:pPr>
            <w:r>
              <w:rPr>
                <w:rFonts w:hAnsi="Calibri"/>
                <w:kern w:val="0"/>
                <w:sz w:val="20"/>
                <w:szCs w:val="20"/>
              </w:rPr>
              <w:t>　</w:t>
            </w:r>
          </w:p>
        </w:tc>
      </w:tr>
    </w:tbl>
    <w:p/>
    <w:tbl>
      <w:tblPr>
        <w:tblStyle w:val="3"/>
        <w:tblW w:w="9720" w:type="dxa"/>
        <w:tblInd w:w="-700" w:type="dxa"/>
        <w:tblLayout w:type="fixed"/>
        <w:tblCellMar>
          <w:top w:w="0" w:type="dxa"/>
          <w:left w:w="108" w:type="dxa"/>
          <w:bottom w:w="0" w:type="dxa"/>
          <w:right w:w="108" w:type="dxa"/>
        </w:tblCellMar>
      </w:tblPr>
      <w:tblGrid>
        <w:gridCol w:w="2160"/>
        <w:gridCol w:w="720"/>
        <w:gridCol w:w="1164"/>
        <w:gridCol w:w="4660"/>
        <w:gridCol w:w="1016"/>
      </w:tblGrid>
      <w:tr>
        <w:tblPrEx>
          <w:tblLayout w:type="fixed"/>
          <w:tblCellMar>
            <w:top w:w="0" w:type="dxa"/>
            <w:left w:w="108" w:type="dxa"/>
            <w:bottom w:w="0" w:type="dxa"/>
            <w:right w:w="108" w:type="dxa"/>
          </w:tblCellMar>
        </w:tblPrEx>
        <w:trPr>
          <w:trHeight w:val="420" w:hRule="atLeast"/>
        </w:trPr>
        <w:tc>
          <w:tcPr>
            <w:tcW w:w="9720" w:type="dxa"/>
            <w:gridSpan w:val="5"/>
            <w:tcBorders>
              <w:top w:val="nil"/>
              <w:left w:val="nil"/>
              <w:bottom w:val="nil"/>
              <w:right w:val="nil"/>
            </w:tcBorders>
            <w:shd w:val="clear" w:color="auto" w:fill="auto"/>
            <w:noWrap w:val="0"/>
            <w:vAlign w:val="center"/>
          </w:tcPr>
          <w:p>
            <w:pPr>
              <w:widowControl/>
              <w:jc w:val="left"/>
              <w:rPr>
                <w:rFonts w:eastAsia="方正小标宋简体"/>
                <w:kern w:val="0"/>
                <w:sz w:val="32"/>
                <w:szCs w:val="32"/>
              </w:rPr>
            </w:pPr>
            <w:r>
              <w:rPr>
                <w:rFonts w:eastAsia="方正小标宋简体"/>
                <w:kern w:val="0"/>
                <w:sz w:val="32"/>
                <w:szCs w:val="32"/>
              </w:rPr>
              <w:t>二、行政处罚（4334项）</w:t>
            </w:r>
          </w:p>
        </w:tc>
      </w:tr>
      <w:tr>
        <w:tblPrEx>
          <w:tblLayout w:type="fixed"/>
          <w:tblCellMar>
            <w:top w:w="0" w:type="dxa"/>
            <w:left w:w="108" w:type="dxa"/>
            <w:bottom w:w="0" w:type="dxa"/>
            <w:right w:w="108" w:type="dxa"/>
          </w:tblCellMar>
        </w:tblPrEx>
        <w:trPr>
          <w:trHeight w:val="540" w:hRule="atLeast"/>
        </w:trPr>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b/>
                <w:bCs/>
                <w:kern w:val="0"/>
                <w:sz w:val="22"/>
                <w:szCs w:val="22"/>
              </w:rPr>
            </w:pPr>
            <w:r>
              <w:rPr>
                <w:b/>
                <w:bCs/>
                <w:kern w:val="0"/>
                <w:sz w:val="22"/>
                <w:szCs w:val="22"/>
              </w:rPr>
              <w:t>市级业务主管部门（单位）</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b/>
                <w:bCs/>
                <w:kern w:val="0"/>
                <w:sz w:val="22"/>
                <w:szCs w:val="22"/>
              </w:rPr>
            </w:pPr>
            <w:r>
              <w:rPr>
                <w:b/>
                <w:bCs/>
                <w:kern w:val="0"/>
                <w:sz w:val="22"/>
                <w:szCs w:val="22"/>
              </w:rPr>
              <w:t>序号</w:t>
            </w:r>
          </w:p>
        </w:tc>
        <w:tc>
          <w:tcPr>
            <w:tcW w:w="116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b/>
                <w:bCs/>
                <w:kern w:val="0"/>
                <w:sz w:val="22"/>
                <w:szCs w:val="22"/>
              </w:rPr>
            </w:pPr>
            <w:r>
              <w:rPr>
                <w:b/>
                <w:bCs/>
                <w:kern w:val="0"/>
                <w:sz w:val="22"/>
                <w:szCs w:val="22"/>
              </w:rPr>
              <w:t>权力类型</w:t>
            </w:r>
          </w:p>
        </w:tc>
        <w:tc>
          <w:tcPr>
            <w:tcW w:w="46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b/>
                <w:bCs/>
                <w:kern w:val="0"/>
                <w:sz w:val="22"/>
                <w:szCs w:val="22"/>
              </w:rPr>
            </w:pPr>
            <w:r>
              <w:rPr>
                <w:b/>
                <w:bCs/>
                <w:kern w:val="0"/>
                <w:sz w:val="22"/>
                <w:szCs w:val="22"/>
              </w:rPr>
              <w:t>权力名称</w:t>
            </w:r>
          </w:p>
        </w:tc>
        <w:tc>
          <w:tcPr>
            <w:tcW w:w="101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b/>
                <w:bCs/>
                <w:kern w:val="0"/>
                <w:sz w:val="22"/>
                <w:szCs w:val="22"/>
              </w:rPr>
            </w:pPr>
            <w:r>
              <w:rPr>
                <w:b/>
                <w:bCs/>
                <w:kern w:val="0"/>
                <w:sz w:val="22"/>
                <w:szCs w:val="22"/>
              </w:rPr>
              <w:t>备注</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161</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对瞒报、拒报或者非经营活动中伪造、篡改价格监测资料行为的处罚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30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162</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对伪造、篡改价格监测资料行为的处罚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163</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对拒绝、阻碍价格主管部门及其价格监测工作人员依法实施价格监测行为的处罚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30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164</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对招标人违规的处罚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85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165</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对固定资产投资项目建设单位开工建设不符合强制性节能标准的项目或者将该项目投入生产、使用的处罚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166</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对使用国家明令淘汰的用能设备或者生产工艺的处罚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167</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对生产单位超过单位产品能耗限额标准用能的处罚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168</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对从事节能咨询、设计、评估、检测、审计、认证等服务的机构提供虚假信息的处罚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169</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对无偿向本单位职工提供能源或者对能源消费实行包费制的处罚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30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170</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对重点用能单位未履行节能管理义务的处罚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171</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对未经节能审查或者节能审查未通过，擅自开工建设的固定资产投资项目的处罚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172</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对未经节能验收或者验收不合格，擅自投入生产、使用的固定资产投资项目的处罚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114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173</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对电力、石油加工、化工、钢铁、有色金属和建材等企业未在规定的范围或者期限内停止使用不符合国家规定的燃油发电机组或者燃油锅炉的处罚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85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174</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对企业分拆项目、隐瞒有关情况或者提供虚假申报材料等不正当手段申请项目核准、备案的处罚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120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175</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对企业未依法办理核准手续开工建设或者未按照核准的建设地点、建设规模、建设内容等进行建设的处罚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kern w:val="0"/>
                <w:sz w:val="20"/>
                <w:szCs w:val="20"/>
              </w:rPr>
            </w:pPr>
            <w:r>
              <w:rPr>
                <w:kern w:val="0"/>
                <w:sz w:val="20"/>
                <w:szCs w:val="20"/>
              </w:rPr>
              <w:t>煤炭建设项目行政处罚由市应急管理局负责</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176</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对企业以欺骗、贿赂等不正当手段取得项目核准文件的处罚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85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177</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对企业未依法将备案制项目信息或者已备案项目信息变更情况告知备案机关，或者向备案机关提供虚假信息的处罚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178</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对企业投资建设产业政策禁止投资建设项目的处罚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179</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对未经粮食行政管理部门许可擅自从事粮食收购活动的处罚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180</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对以欺骗、贿赂等不正当手段取得粮食收购资格许可的处罚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181</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对粮食收购者未执行国家粮食质量标准的处罚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182</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对粮食收购者被售粮者举报未及时支付售粮款的处罚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183</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对粮食收购者违反规定代扣、代缴税、费和其他款项的处罚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85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184</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对粮食经营者以及饲料、工业用粮企业未建立粮食经营台账或者未按照规定报送粮食基本数据和有关情况的处罚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185</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对接受委托的粮食经营者从事政策性用粮的购销活动未执行国家有关政策的处罚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186</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对粮食经营者的粮食库存低于规定的最低库存量或超出规定的最高库存量的处罚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187</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对粮食经营者对超过正常储存年限的粮食，出库前未按照规定进行质量鉴定的处罚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188</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对粮食经营者未按照规定使用粮食仓储设施、运输工具的处罚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85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189</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对粮食收购者伪造、涂改、倒卖、出租、出借或者以其他形式非法转让粮食收购许可证的处罚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190</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对使用伪造、涂改、出租、出借或者非法转让粮食收购许可证的处罚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191</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对未按规定办理粮食收购许可证变更手续的处罚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192</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对未在粮食收购场所明示粮食收购许可证和工商营业执照的处罚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85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193</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对未向售粮者出具粮食收购凭证，载明所收购粮食品种、质量等级、价格、数量和金额的处罚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194</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对粮食经营台账保留时间不足3年的处罚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114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195</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对从事粮食收购、加工、储存的经营者（不含个体工商户）未配备经过专业培训的粮油保管员、粮油质量检验员的或又无委托的处罚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142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196</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对从事粮食收购、加工、储存的经营者（不含个体工商户）未装备有与所经营粮食种类和国家质量标准规定的检验项目相适应的粮食检验仪器设备，没有能单独进行粮食检验工作的场所的或又无委托的处罚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142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197</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对从事粮食收购、加工、储存的经营者（不含个体工商户）未具备相应的仪器设备使用和管理、检验员业务培训、粮食出入库质量检验、质量档案和质量事故处理等质量管理制度的处罚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198</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对从事粮食储存的经营者仓储设施未符合国家有关粮食储存标准和技术规范的处罚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114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199</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对从事粮食储存的经营者将粮食与可能对粮食产生污染的有害物质混存或不同收获年度的粮食混存，以及未按规定对霉变、病虫害超标粮食进行处理的处罚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85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200</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对从事粮食储存经营者使用国家禁止使用的化学药剂或超标使用化学药剂，以及粮库周围有有害污染源的处罚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114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201</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对从事粮食收购、储存的经营者（不含个体工商户）未按照国家粮食质量标准对入库粮食进行质量检验，粮食出库或购进粮食无质检报告，或对质检报告弄虚作假的处罚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85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202</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对在粮食交易过程中，粮食销售、加工、转化经营者未索取质检报告或对质检报告弄虚作假的处罚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114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203</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对被污染或者不符合食用卫生标准的粮食，其质量符合饲料卫生标准的，责令当事人转作饲料；不符合饲料卫生标准的，责令转作其他安全用途或者销毁</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204</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对粮油仓储单位未在规定时间备案或备案内容弄虚作假的处罚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205</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对粮油仓储单位不具备规定条件的处罚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206</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对粮油仓储单位违规使用“国家储备粮”和“中央储备粮”字样的处罚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207</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对粮油仓储单位违反粮油出入库、储存等管理规定的处罚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208</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对未实行粮食质量安全档案制度的处罚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209</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对未实行粮食召回制度的处罚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85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210</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对违规拆除、迁移粮油仓储物流设施，非法侵占、损坏粮油仓储物流设施或者擅自改变其用途的处罚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211</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对滥用职权、营私舞弊或者玩忽职守，造成粮油仓储物流设施损失、损坏的处罚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212</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对石油天然气管道企业未依法履行管道保护相关义务的处罚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213</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对实施危害石油天然气管道安全行为的处罚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214</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对未经依法批准进行危害石油天然气管道安全的施工作业的处罚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1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市发展和改革委员会</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kern w:val="0"/>
                <w:sz w:val="22"/>
                <w:szCs w:val="22"/>
              </w:rPr>
            </w:pPr>
            <w:r>
              <w:rPr>
                <w:kern w:val="0"/>
                <w:sz w:val="22"/>
                <w:szCs w:val="22"/>
              </w:rPr>
              <w:t>215</w:t>
            </w:r>
          </w:p>
        </w:tc>
        <w:tc>
          <w:tcPr>
            <w:tcW w:w="116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行政处罚</w:t>
            </w:r>
          </w:p>
        </w:tc>
        <w:tc>
          <w:tcPr>
            <w:tcW w:w="4660" w:type="dxa"/>
            <w:tcBorders>
              <w:top w:val="nil"/>
              <w:left w:val="nil"/>
              <w:bottom w:val="single" w:color="auto" w:sz="4" w:space="0"/>
              <w:right w:val="single" w:color="auto" w:sz="4" w:space="0"/>
            </w:tcBorders>
            <w:shd w:val="clear" w:color="auto" w:fill="auto"/>
            <w:noWrap w:val="0"/>
            <w:vAlign w:val="center"/>
          </w:tcPr>
          <w:p>
            <w:pPr>
              <w:widowControl/>
              <w:jc w:val="left"/>
              <w:rPr>
                <w:kern w:val="0"/>
                <w:sz w:val="22"/>
                <w:szCs w:val="22"/>
              </w:rPr>
            </w:pPr>
            <w:r>
              <w:rPr>
                <w:kern w:val="0"/>
                <w:sz w:val="22"/>
                <w:szCs w:val="22"/>
              </w:rPr>
              <w:t>对擅自开启、关闭管道阀门等危害石油天然气管道安全及阻碍管道建设行为的处罚</w:t>
            </w:r>
          </w:p>
        </w:tc>
        <w:tc>
          <w:tcPr>
            <w:tcW w:w="1016" w:type="dxa"/>
            <w:tcBorders>
              <w:top w:val="nil"/>
              <w:left w:val="nil"/>
              <w:bottom w:val="single" w:color="auto" w:sz="4" w:space="0"/>
              <w:right w:val="single" w:color="auto" w:sz="4" w:space="0"/>
            </w:tcBorders>
            <w:shd w:val="clear" w:color="auto" w:fill="auto"/>
            <w:noWrap w:val="0"/>
            <w:vAlign w:val="center"/>
          </w:tcPr>
          <w:p>
            <w:pPr>
              <w:widowControl/>
              <w:jc w:val="left"/>
              <w:rPr>
                <w:color w:val="000000"/>
                <w:kern w:val="0"/>
                <w:sz w:val="22"/>
                <w:szCs w:val="22"/>
              </w:rPr>
            </w:pPr>
            <w:r>
              <w:rPr>
                <w:color w:val="000000"/>
                <w:kern w:val="0"/>
                <w:sz w:val="22"/>
                <w:szCs w:val="22"/>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26BBC"/>
    <w:rsid w:val="65026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2020-05-09T09:43:00Z</dcterms:created>
  <dc:creator>彩笔画秋风</dc:creator>
  <cp:lastModifiedBy>彩笔画秋风</cp:lastModifiedBy>
  <dcterms:modified xsi:type="dcterms:W3CDTF">2020-05-09T09:44:50Z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