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000000" w:fill="FFFFFF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000000" w:fill="FFFFFF"/>
        </w:rPr>
        <w:t>2019年攀枝花市转移支付安排情况</w:t>
      </w: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2019年，省对市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预安排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转移支付为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305,613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万元（具体见附件1），其中：返还性收入28,611万元，一般性转移支付186,369万元，专项转移支付收入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90,633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万元。政府性基金转移支付安排为2,721万元。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市对区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预安排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转移支付为86,874万元（具体见附件2），其中：返还性收入12,739万元，一般性转移支付收入69,595万元，专项转移支付收入4,540万元。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余下转移支付，因据实据效、项目申报等因素，需在年度预算执行中根据实际情况按程序审批后分配执行。</w:t>
      </w: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黑体" w:hAnsi="黑体" w:eastAsia="黑体" w:cs="仿宋_GB2312"/>
          <w:color w:val="333333"/>
          <w:sz w:val="32"/>
          <w:szCs w:val="32"/>
          <w:shd w:val="clear" w:color="000000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000000" w:fill="FFFFFF"/>
        </w:rPr>
        <w:t>附件1</w:t>
      </w:r>
    </w:p>
    <w:tbl>
      <w:tblPr>
        <w:tblStyle w:val="7"/>
        <w:tblW w:w="83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2"/>
        <w:gridCol w:w="2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0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color w:val="000008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8"/>
                <w:sz w:val="36"/>
                <w:szCs w:val="36"/>
              </w:rPr>
              <w:t>2019年省对攀枝花税返和转移支付补助预算表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72" w:type="dxa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34" w:type="dxa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预算科目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8"/>
                <w:sz w:val="20"/>
                <w:szCs w:val="20"/>
              </w:rPr>
              <w:t>上级补助收入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8"/>
                <w:sz w:val="20"/>
                <w:szCs w:val="20"/>
              </w:rPr>
              <w:t>305,613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 xml:space="preserve"> 返还性收入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28,611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增值税税收返还收入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38,251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消费税税收返还收入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所得税基数返还收入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9,437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成品油价格和税收返还收入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21,087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其他税收返还收入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-12,981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增值税“五五分享”税收返还收入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-28,149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 xml:space="preserve"> 一般性转移支付收入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186,369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均衡性转移支付收入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90,714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县级基本财力保障机制奖补资金收入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12,813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结算补助收入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资源枯竭型城市转移支付补助收入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8,437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企业事业单位划转补助收入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22,453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成品油价格和税费改革转移支付补助收入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固定数额补助收入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47,325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 xml:space="preserve"> 专项转移支付收入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90,633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一般公共服务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教育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13,020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文化旅游体育与传媒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社会保障和就业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20,381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卫生健康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31,547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节能环保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农林水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14,521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交通运输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6,896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灾害防治及应急管理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大中型水库移民后期扶持基金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100"/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大中型水库库区基金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2,515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100"/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城乡医疗救助彩票公益金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90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center"/>
        <w:rPr>
          <w:rFonts w:hint="eastAsia" w:eastAsia="宋体"/>
        </w:rPr>
      </w:pPr>
    </w:p>
    <w:p>
      <w:pPr>
        <w:jc w:val="center"/>
        <w:rPr>
          <w:rFonts w:eastAsia="宋体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7"/>
        <w:tblW w:w="818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180"/>
        <w:gridCol w:w="1180"/>
        <w:gridCol w:w="1180"/>
        <w:gridCol w:w="1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8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8"/>
                <w:sz w:val="36"/>
                <w:szCs w:val="36"/>
              </w:rPr>
              <w:t>2019年市对区税返和转移支付补助预算表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8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8"/>
                <w:sz w:val="20"/>
                <w:szCs w:val="20"/>
              </w:rPr>
              <w:t>预算科目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8"/>
                <w:sz w:val="20"/>
                <w:szCs w:val="20"/>
              </w:rPr>
              <w:t>预算数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8"/>
                <w:sz w:val="20"/>
                <w:szCs w:val="20"/>
              </w:rPr>
              <w:t>东区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8"/>
                <w:sz w:val="20"/>
                <w:szCs w:val="20"/>
              </w:rPr>
              <w:t>西区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8"/>
                <w:sz w:val="20"/>
                <w:szCs w:val="20"/>
              </w:rPr>
              <w:t>仁和区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补助下级支出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86,874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33,895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40,635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12,344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返还性支出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12,739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2,504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9,083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增值税税收返还收入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6,058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4,173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消费税和增值税税收返还收入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所得税基数返还收入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3,865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3,970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-1,145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成品油价格和税收返还收入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其他税收返还收入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-5,327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2,327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5,186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增值税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五五分享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-5,355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-638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一般性转移支付支出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69,595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31,868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37,596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均衡性转移支付支出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49,028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12,301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23,271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13,456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县级基本财力保障机制奖补资金支出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8,709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2,369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4,274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2,066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结算补助支出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-700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资源枯竭型城市转移支付补助支出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8,437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3,548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企业事业单位划转补助支出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-10,589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11,758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4,049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-26,396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固定数额补助支出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12,958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1,780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8,078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其他一般性转移支付支出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专项转移支付支出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4,540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3,130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一般公共服务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社会保障和就业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1,508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卫生健康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农林水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2,886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2,544</w:t>
            </w:r>
          </w:p>
        </w:tc>
      </w:tr>
    </w:tbl>
    <w:p>
      <w:pPr>
        <w:jc w:val="center"/>
        <w:rPr>
          <w:rFonts w:eastAsia="宋体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34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34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34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2B380695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156" w:name="footnote text"/>
    <w:lsdException w:unhideWhenUsed="0" w:uiPriority="0" w:semiHidden="0" w:name="annotation text"/>
    <w:lsdException w:uiPriority="151" w:name="header"/>
    <w:lsdException w:qFormat="1" w:uiPriority="153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161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160" w:name="endnote reference"/>
    <w:lsdException w:uiPriority="158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162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7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sz w:val="48"/>
      <w:szCs w:val="48"/>
    </w:rPr>
  </w:style>
  <w:style w:type="character" w:default="1" w:styleId="9">
    <w:name w:val="Default Paragraph Font"/>
    <w:semiHidden/>
    <w:unhideWhenUsed/>
    <w:qFormat/>
    <w:uiPriority w:val="2"/>
  </w:style>
  <w:style w:type="table" w:default="1" w:styleId="7">
    <w:name w:val="Normal Table"/>
    <w:semiHidden/>
    <w:unhideWhenUsed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8"/>
    <w:semiHidden/>
    <w:unhideWhenUsed/>
    <w:uiPriority w:val="158"/>
    <w:pPr>
      <w:snapToGrid w:val="0"/>
      <w:jc w:val="left"/>
    </w:pPr>
  </w:style>
  <w:style w:type="paragraph" w:styleId="4">
    <w:name w:val="footer"/>
    <w:basedOn w:val="1"/>
    <w:link w:val="15"/>
    <w:semiHidden/>
    <w:unhideWhenUsed/>
    <w:qFormat/>
    <w:uiPriority w:val="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151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semiHidden/>
    <w:uiPriority w:val="156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0"/>
    <w:rPr>
      <w:b/>
    </w:rPr>
  </w:style>
  <w:style w:type="character" w:styleId="11">
    <w:name w:val="endnote reference"/>
    <w:basedOn w:val="9"/>
    <w:semiHidden/>
    <w:unhideWhenUsed/>
    <w:uiPriority w:val="160"/>
    <w:rPr>
      <w:vertAlign w:val="superscript"/>
    </w:rPr>
  </w:style>
  <w:style w:type="character" w:styleId="12">
    <w:name w:val="Hyperlink"/>
    <w:basedOn w:val="9"/>
    <w:unhideWhenUsed/>
    <w:qFormat/>
    <w:uiPriority w:val="162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footnote reference"/>
    <w:basedOn w:val="9"/>
    <w:semiHidden/>
    <w:unhideWhenUsed/>
    <w:uiPriority w:val="161"/>
    <w:rPr>
      <w:vertAlign w:val="superscript"/>
    </w:rPr>
  </w:style>
  <w:style w:type="character" w:customStyle="1" w:styleId="14">
    <w:name w:val="页眉 Char"/>
    <w:basedOn w:val="9"/>
    <w:link w:val="5"/>
    <w:semiHidden/>
    <w:uiPriority w:val="152"/>
    <w:rPr>
      <w:sz w:val="18"/>
      <w:szCs w:val="18"/>
    </w:rPr>
  </w:style>
  <w:style w:type="character" w:customStyle="1" w:styleId="15">
    <w:name w:val="页脚 Char"/>
    <w:basedOn w:val="9"/>
    <w:link w:val="4"/>
    <w:semiHidden/>
    <w:uiPriority w:val="154"/>
    <w:rPr>
      <w:sz w:val="18"/>
      <w:szCs w:val="18"/>
    </w:rPr>
  </w:style>
  <w:style w:type="character" w:customStyle="1" w:styleId="16">
    <w:name w:val="标题 1 Char"/>
    <w:basedOn w:val="9"/>
    <w:link w:val="2"/>
    <w:qFormat/>
    <w:uiPriority w:val="155"/>
    <w:rPr>
      <w:rFonts w:ascii="宋体" w:hAnsi="宋体" w:eastAsia="宋体" w:cs="宋体"/>
      <w:b/>
      <w:sz w:val="48"/>
      <w:szCs w:val="48"/>
    </w:rPr>
  </w:style>
  <w:style w:type="character" w:customStyle="1" w:styleId="17">
    <w:name w:val="脚注文本 Char"/>
    <w:basedOn w:val="9"/>
    <w:link w:val="6"/>
    <w:semiHidden/>
    <w:uiPriority w:val="157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尾注文本 Char"/>
    <w:basedOn w:val="9"/>
    <w:link w:val="3"/>
    <w:semiHidden/>
    <w:uiPriority w:val="15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246</Words>
  <Characters>1650</Characters>
  <Lines>11</Lines>
  <Paragraphs>3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2021-05-24T04:06:08Z</dcterms:created>
  <dc:creator>王成</dc:creator>
  <cp:lastModifiedBy>Administrator</cp:lastModifiedBy>
  <dcterms:modified xsi:type="dcterms:W3CDTF">2021-05-24T04:06:51Z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D30B7FB1D5C644059E7EA5B1B15B50DD</vt:lpwstr>
  </property>
</Properties>
</file>