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6"/>
          <w:szCs w:val="32"/>
        </w:rPr>
        <w:t>攀枝花市水利局2019年部门预算整体绩效评价报告</w:t>
      </w:r>
    </w:p>
    <w:p>
      <w:pPr>
        <w:rPr>
          <w:rFonts w:ascii="仿宋_GB2312" w:eastAsia="仿宋_GB2312"/>
          <w:sz w:val="32"/>
          <w:szCs w:val="32"/>
        </w:rPr>
      </w:pPr>
    </w:p>
    <w:p>
      <w:pPr>
        <w:ind w:firstLine="480" w:firstLineChars="150"/>
        <w:rPr>
          <w:rFonts w:ascii="方正小标宋简体" w:eastAsia="方正小标宋简体"/>
          <w:sz w:val="32"/>
          <w:szCs w:val="32"/>
        </w:rPr>
      </w:pPr>
      <w:r>
        <w:rPr>
          <w:rFonts w:hint="eastAsia" w:ascii="方正小标宋简体" w:eastAsia="方正小标宋简体"/>
          <w:sz w:val="32"/>
          <w:szCs w:val="32"/>
        </w:rPr>
        <w:t>一、部门概况</w:t>
      </w:r>
    </w:p>
    <w:p>
      <w:pPr>
        <w:snapToGrid w:val="0"/>
        <w:spacing w:line="600" w:lineRule="exact"/>
        <w:ind w:firstLine="643" w:firstLineChars="200"/>
        <w:rPr>
          <w:rFonts w:ascii="仿宋_GB2312" w:hAnsi="Times New Roman" w:eastAsia="仿宋_GB2312" w:cs="Times New Roman"/>
          <w:b/>
          <w:sz w:val="32"/>
          <w:szCs w:val="32"/>
        </w:rPr>
      </w:pPr>
      <w:r>
        <w:rPr>
          <w:rFonts w:hint="eastAsia" w:ascii="楷体" w:hAnsi="楷体" w:eastAsia="楷体" w:cs="Times New Roman"/>
          <w:b/>
          <w:sz w:val="32"/>
          <w:szCs w:val="32"/>
        </w:rPr>
        <w:t>（一）机构组成</w:t>
      </w:r>
    </w:p>
    <w:p>
      <w:pPr>
        <w:snapToGrid w:val="0"/>
        <w:spacing w:line="560" w:lineRule="exact"/>
        <w:ind w:firstLine="636" w:firstLineChars="199"/>
        <w:rPr>
          <w:rFonts w:ascii="仿宋_GB2312" w:hAnsi="Times New Roman" w:eastAsia="仿宋_GB2312" w:cs="Times New Roman"/>
          <w:sz w:val="32"/>
          <w:szCs w:val="32"/>
        </w:rPr>
      </w:pPr>
      <w:r>
        <w:rPr>
          <w:rFonts w:hint="eastAsia" w:ascii="仿宋_GB2312" w:hAnsi="Times New Roman" w:eastAsia="仿宋_GB2312" w:cs="Times New Roman"/>
          <w:sz w:val="32"/>
          <w:szCs w:val="32"/>
        </w:rPr>
        <w:t>攀枝花市水利局部门直属单位4个，其中：行政单位1个---攀枝花市水利局；事业单位3个---攀枝花市水土保持生态环境监测分站、攀枝花市水利水电勘测设计院和攀枝花市胜利水利工程运行中心。</w:t>
      </w:r>
    </w:p>
    <w:p>
      <w:pPr>
        <w:snapToGrid w:val="0"/>
        <w:spacing w:line="560" w:lineRule="exact"/>
        <w:ind w:firstLine="639" w:firstLineChars="199"/>
        <w:rPr>
          <w:rFonts w:ascii="楷体" w:hAnsi="楷体" w:eastAsia="楷体" w:cs="Times New Roman"/>
          <w:b/>
          <w:sz w:val="32"/>
          <w:szCs w:val="32"/>
        </w:rPr>
      </w:pPr>
      <w:r>
        <w:rPr>
          <w:rFonts w:hint="eastAsia" w:ascii="楷体" w:hAnsi="楷体" w:eastAsia="楷体" w:cs="Times New Roman"/>
          <w:b/>
          <w:sz w:val="32"/>
          <w:szCs w:val="32"/>
        </w:rPr>
        <w:t>（二）主要职能</w:t>
      </w:r>
    </w:p>
    <w:p>
      <w:pPr>
        <w:snapToGrid w:val="0"/>
        <w:spacing w:line="560" w:lineRule="exact"/>
        <w:ind w:firstLine="636" w:firstLineChars="199"/>
        <w:rPr>
          <w:rFonts w:ascii="仿宋_GB2312" w:hAnsi="仿宋" w:eastAsia="仿宋_GB2312" w:cs="宋体"/>
          <w:kern w:val="0"/>
          <w:sz w:val="32"/>
          <w:szCs w:val="32"/>
        </w:rPr>
      </w:pPr>
      <w:r>
        <w:rPr>
          <w:rFonts w:hint="eastAsia" w:ascii="仿宋_GB2312" w:hAnsi="仿宋" w:eastAsia="仿宋_GB2312" w:cs="宋体"/>
          <w:kern w:val="0"/>
          <w:sz w:val="32"/>
          <w:szCs w:val="32"/>
        </w:rPr>
        <w:t>根据《攀枝花市人民政府办公室关于印发攀枝花市水务局主要职责内设机构和人员编制规定的通知》（攀办发〔2011〕72号），市水利局部门主要职责为：</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1.贯彻执行国家和省有关水行政管理工作的方针、政策和法律、法规。负责保障水资源的合理开发利用；负责全市水利、水土保持、地方小水电行政管理的制度建设，拟订政策和发展规划。组织编制全市重要江河湖库的流域综合规划、水资源保护和水源地保护规划、节约用水、防洪规划等重要水利规划，组织有关全市国民经济总体规划、城乡规划、重大建设项目中涉及水利方面的论证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2.负责全市水资源统一管理。合理配置水资源，统筹兼顾和保障生活、生产经营、生态环境用水；实施水资源的统一监督管理，组织实施取水许可、水资源有偿使用和按规定开展水能资源调查工作；负责重要流域、区域以及重大调水工程的水资源调度，组织实施水资源有偿使用制度和水资源论证、防洪论证制度。负责全市水资源保护工作，指导饮用水水源保护工作；负责拟定全市节约用水政策和指导节水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3.负责组织实施水利、水土保持、地方小水电的法律法规及执法工作；调处县（区）之间的重大水事纠纷；负责有关行政复议和行政诉讼应诉工作。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4.负责全市水土保持工作。拟订水土保持规划并监督实施，负责全市水土流失综合治理及监测工作；负责权限范围内开发建设项目水土保持方案的审批、实施、监督工作。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5.负责地方小水电行业管理工作。负责全市小水电建设项目涉水事务的监督管理。</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6.负责全市江河的综合开发与管理工作。负责全市河道、水库、湖泊、河口滩涂的行政管理及河道管护范围内砂石资源等的开发、利用和保护；负责对占用河道、河堤通道设施（包括临时设施）等行为的行政监督管理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7.指导农村水利工作。参与协调农田水利基本建设，指导农村饮水安全等工程建设与管理工作，指导农村水利社会化服务体系建设；按规定指导农村水能资源开发工作，指导水电农村电气化和小水电代燃料工作。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8.指导全市水利发展和水利行业劳动保护、科技推广、安全生产工作。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9.负责防治水旱灾害，组织、协调、监督、指导全市防洪抢险及抗旱工作。编制全市防汛抗旱应急预案并组织实施，指导水利突发公共事件应急管理工作。</w:t>
      </w:r>
    </w:p>
    <w:p>
      <w:pPr>
        <w:snapToGrid w:val="0"/>
        <w:spacing w:line="560" w:lineRule="exact"/>
        <w:ind w:firstLine="636" w:firstLineChars="199"/>
        <w:rPr>
          <w:rFonts w:ascii="仿宋_GB2312" w:hAnsi="仿宋" w:eastAsia="仿宋_GB2312"/>
          <w:sz w:val="32"/>
          <w:szCs w:val="32"/>
        </w:rPr>
      </w:pPr>
      <w:r>
        <w:rPr>
          <w:rFonts w:hint="eastAsia" w:ascii="仿宋_GB2312" w:hAnsi="仿宋" w:eastAsia="仿宋_GB2312"/>
          <w:sz w:val="32"/>
          <w:szCs w:val="32"/>
        </w:rPr>
        <w:t>10.承担市政府公布的有关行政审批事项。</w:t>
      </w:r>
    </w:p>
    <w:p>
      <w:pPr>
        <w:spacing w:line="600" w:lineRule="exact"/>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（三）人员构成</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2019年市水利局及下属单位编制共计112人。2019年末，市水利局及下属单位实有人数145人。其中：在职人员94人（行政人员42人，事业人员52人），聘用人员4人，离退休人员47人（退休人员45人，离休人员2人）</w:t>
      </w:r>
      <w:r>
        <w:rPr>
          <w:rFonts w:hint="eastAsia" w:ascii="仿宋_GB2312" w:hAnsi="仿宋_GB2312" w:eastAsia="仿宋_GB2312" w:cs="仿宋_GB2312"/>
          <w:sz w:val="32"/>
          <w:szCs w:val="32"/>
        </w:rPr>
        <w:t xml:space="preserve">。 </w:t>
      </w:r>
    </w:p>
    <w:p>
      <w:pPr>
        <w:spacing w:line="600" w:lineRule="exact"/>
        <w:ind w:firstLine="640" w:firstLineChars="200"/>
        <w:rPr>
          <w:rFonts w:ascii="方正小标宋简体" w:eastAsia="方正小标宋简体"/>
          <w:sz w:val="32"/>
          <w:szCs w:val="32"/>
        </w:rPr>
      </w:pPr>
      <w:r>
        <w:rPr>
          <w:rFonts w:hint="eastAsia" w:ascii="方正小标宋简体" w:eastAsia="方正小标宋简体"/>
          <w:sz w:val="32"/>
          <w:szCs w:val="32"/>
        </w:rPr>
        <w:t>二、评价工作开展情况</w:t>
      </w:r>
    </w:p>
    <w:p>
      <w:pPr>
        <w:snapToGrid w:val="0"/>
        <w:spacing w:line="560" w:lineRule="exact"/>
        <w:ind w:firstLine="640" w:firstLineChars="200"/>
        <w:rPr>
          <w:rFonts w:ascii="仿宋_GB2312" w:hAnsi="仿宋_GB2312" w:eastAsia="仿宋_GB2312" w:cs="仿宋_GB2312"/>
          <w:color w:val="000000"/>
          <w:sz w:val="32"/>
          <w:szCs w:val="32"/>
        </w:rPr>
      </w:pPr>
      <w:r>
        <w:rPr>
          <w:rFonts w:hint="eastAsia" w:ascii="仿宋_GB2312" w:eastAsia="仿宋_GB2312"/>
          <w:sz w:val="32"/>
          <w:szCs w:val="32"/>
        </w:rPr>
        <w:t>根据《攀枝花市财政局关于开展2019年部门预算整体绩效评价工作的通知》（攀财绩〔2020〕4号），市财政局成立评价组，按照前期准备、部门自评、现场评价、报告撰写四个阶段，以现场评价为主、非现场评价为辅，组织实施部门整体预算绩效评价工作。通过查看部门决策、综合管理、部门绩效等情况，收集相关数据资料，汇总整理，结合部门绩效自评报告，定量和定性分析形成评价结论，经过复核和交换意见后，形成绩效评价报告。</w:t>
      </w:r>
    </w:p>
    <w:p>
      <w:pPr>
        <w:snapToGrid w:val="0"/>
        <w:spacing w:line="560" w:lineRule="exact"/>
        <w:ind w:firstLine="640" w:firstLineChars="200"/>
        <w:rPr>
          <w:rFonts w:ascii="方正小标宋简体" w:hAnsi="仿宋_GB2312" w:eastAsia="方正小标宋简体" w:cs="仿宋_GB2312"/>
          <w:color w:val="000000"/>
          <w:sz w:val="32"/>
          <w:szCs w:val="32"/>
        </w:rPr>
      </w:pPr>
      <w:r>
        <w:rPr>
          <w:rFonts w:hint="eastAsia" w:ascii="方正小标宋简体" w:hAnsi="仿宋_GB2312" w:eastAsia="方正小标宋简体" w:cs="仿宋_GB2312"/>
          <w:color w:val="000000"/>
          <w:sz w:val="32"/>
          <w:szCs w:val="32"/>
        </w:rPr>
        <w:t>三、部门财政资金收支情况</w:t>
      </w:r>
    </w:p>
    <w:p>
      <w:pPr>
        <w:snapToGrid w:val="0"/>
        <w:spacing w:line="560" w:lineRule="exact"/>
        <w:ind w:firstLine="643" w:firstLineChars="200"/>
        <w:rPr>
          <w:rFonts w:ascii="楷体" w:hAnsi="楷体" w:eastAsia="楷体"/>
          <w:b/>
          <w:sz w:val="32"/>
          <w:szCs w:val="32"/>
        </w:rPr>
      </w:pPr>
      <w:r>
        <w:rPr>
          <w:rFonts w:hint="eastAsia" w:ascii="楷体" w:hAnsi="楷体" w:eastAsia="楷体"/>
          <w:b/>
          <w:sz w:val="32"/>
          <w:szCs w:val="32"/>
        </w:rPr>
        <w:t>（一）部门收入</w:t>
      </w:r>
    </w:p>
    <w:p>
      <w:pPr>
        <w:ind w:firstLine="640" w:firstLineChars="200"/>
        <w:rPr>
          <w:rFonts w:ascii="仿宋_GB2312" w:hAnsi="仿宋" w:eastAsia="仿宋_GB2312"/>
          <w:sz w:val="32"/>
          <w:szCs w:val="32"/>
        </w:rPr>
      </w:pPr>
      <w:r>
        <w:rPr>
          <w:rFonts w:hint="eastAsia" w:ascii="仿宋_GB2312" w:eastAsia="仿宋_GB2312"/>
          <w:sz w:val="32"/>
          <w:szCs w:val="32"/>
        </w:rPr>
        <w:t>市水利局及下属单位</w:t>
      </w:r>
      <w:r>
        <w:rPr>
          <w:rFonts w:hint="eastAsia" w:ascii="仿宋_GB2312" w:hAnsi="仿宋" w:eastAsia="仿宋_GB2312"/>
          <w:sz w:val="32"/>
          <w:szCs w:val="32"/>
        </w:rPr>
        <w:t>2019年收入总计4265.14万元。其中：一般公共预算财政拨款收入3037.3万元，政府性基金预算财政拨款收入364.64万元，年初结转和结余863.2万元。</w:t>
      </w:r>
    </w:p>
    <w:p>
      <w:pPr>
        <w:ind w:firstLine="643" w:firstLineChars="200"/>
        <w:rPr>
          <w:rFonts w:ascii="楷体" w:hAnsi="楷体" w:eastAsia="楷体"/>
          <w:b/>
          <w:sz w:val="32"/>
          <w:szCs w:val="32"/>
        </w:rPr>
      </w:pPr>
      <w:r>
        <w:rPr>
          <w:rFonts w:hint="eastAsia" w:ascii="楷体" w:hAnsi="楷体" w:eastAsia="楷体"/>
          <w:b/>
          <w:sz w:val="32"/>
          <w:szCs w:val="32"/>
        </w:rPr>
        <w:t>（二）部门支出</w:t>
      </w:r>
    </w:p>
    <w:p>
      <w:pPr>
        <w:ind w:firstLine="640" w:firstLineChars="200"/>
        <w:rPr>
          <w:rFonts w:ascii="仿宋_GB2312" w:hAnsi="仿宋" w:eastAsia="仿宋_GB2312"/>
          <w:sz w:val="32"/>
          <w:szCs w:val="32"/>
        </w:rPr>
      </w:pPr>
      <w:r>
        <w:rPr>
          <w:rFonts w:hint="eastAsia" w:ascii="仿宋_GB2312" w:eastAsia="仿宋_GB2312"/>
          <w:sz w:val="32"/>
          <w:szCs w:val="32"/>
        </w:rPr>
        <w:t>市水利局及下属单位</w:t>
      </w:r>
      <w:r>
        <w:rPr>
          <w:rFonts w:hint="eastAsia" w:ascii="仿宋_GB2312" w:hAnsi="仿宋" w:eastAsia="仿宋_GB2312"/>
          <w:sz w:val="32"/>
          <w:szCs w:val="32"/>
        </w:rPr>
        <w:t>2019年支出总计3118.37万元。具体支出方向如下：</w:t>
      </w:r>
    </w:p>
    <w:p>
      <w:pPr>
        <w:ind w:firstLine="640" w:firstLineChars="200"/>
        <w:rPr>
          <w:rFonts w:ascii="仿宋_GB2312" w:hAnsi="仿宋" w:eastAsia="仿宋_GB2312"/>
          <w:sz w:val="32"/>
          <w:szCs w:val="32"/>
        </w:rPr>
      </w:pPr>
      <w:r>
        <w:rPr>
          <w:rFonts w:hint="eastAsia" w:ascii="仿宋_GB2312" w:hAnsi="仿宋" w:eastAsia="仿宋_GB2312"/>
          <w:sz w:val="32"/>
          <w:szCs w:val="32"/>
        </w:rPr>
        <w:t>按科目分类支出情况：一般公共服务支出6.6万元，社会保障和就业支出263.96万元，城乡社区支出364.31万元，农林水支出2351.1万元，住房保障支出132.4万元，</w:t>
      </w:r>
    </w:p>
    <w:p>
      <w:pPr>
        <w:ind w:firstLine="640" w:firstLineChars="200"/>
        <w:rPr>
          <w:rFonts w:ascii="仿宋_GB2312" w:hAnsi="仿宋" w:eastAsia="仿宋_GB2312"/>
          <w:sz w:val="32"/>
          <w:szCs w:val="32"/>
        </w:rPr>
      </w:pPr>
      <w:r>
        <w:rPr>
          <w:rFonts w:hint="eastAsia" w:ascii="仿宋_GB2312" w:hAnsi="仿宋" w:eastAsia="仿宋_GB2312"/>
          <w:sz w:val="32"/>
          <w:szCs w:val="32"/>
        </w:rPr>
        <w:t>按资金用途支出情况：基本支出1975.85万元（人员支出1691.08万元，日常公用支出284.77万元），项目支出   1142.52万元。</w:t>
      </w:r>
    </w:p>
    <w:p>
      <w:pPr>
        <w:ind w:firstLine="643" w:firstLineChars="200"/>
        <w:rPr>
          <w:rFonts w:ascii="楷体" w:hAnsi="楷体" w:eastAsia="楷体"/>
          <w:b/>
          <w:sz w:val="32"/>
          <w:szCs w:val="32"/>
        </w:rPr>
      </w:pPr>
      <w:r>
        <w:rPr>
          <w:rFonts w:hint="eastAsia" w:ascii="楷体" w:hAnsi="楷体" w:eastAsia="楷体"/>
          <w:b/>
          <w:sz w:val="32"/>
          <w:szCs w:val="32"/>
        </w:rPr>
        <w:t>（三）部门结余</w:t>
      </w:r>
    </w:p>
    <w:p>
      <w:pPr>
        <w:ind w:firstLine="640" w:firstLineChars="200"/>
        <w:rPr>
          <w:rFonts w:ascii="仿宋_GB2312" w:eastAsia="仿宋_GB2312"/>
          <w:sz w:val="32"/>
          <w:szCs w:val="32"/>
        </w:rPr>
      </w:pPr>
      <w:r>
        <w:rPr>
          <w:rFonts w:hint="eastAsia" w:ascii="仿宋_GB2312" w:eastAsia="仿宋_GB2312"/>
          <w:sz w:val="32"/>
          <w:szCs w:val="32"/>
        </w:rPr>
        <w:t>市水利局及下属单位2019年</w:t>
      </w:r>
      <w:r>
        <w:rPr>
          <w:rFonts w:hint="eastAsia" w:ascii="仿宋_GB2312" w:hAnsi="仿宋" w:eastAsia="仿宋_GB2312"/>
          <w:sz w:val="32"/>
          <w:szCs w:val="32"/>
        </w:rPr>
        <w:t>年末结转和结余1146.77</w:t>
      </w:r>
      <w:r>
        <w:rPr>
          <w:rFonts w:hint="eastAsia" w:ascii="仿宋_GB2312" w:eastAsia="仿宋_GB2312"/>
          <w:sz w:val="32"/>
          <w:szCs w:val="32"/>
        </w:rPr>
        <w:t>万元，均为项目资金结转结余。</w:t>
      </w:r>
    </w:p>
    <w:p>
      <w:pPr>
        <w:ind w:firstLine="640" w:firstLineChars="200"/>
        <w:rPr>
          <w:rFonts w:ascii="方正小标宋简体" w:eastAsia="方正小标宋简体"/>
          <w:sz w:val="32"/>
          <w:szCs w:val="32"/>
        </w:rPr>
      </w:pPr>
      <w:r>
        <w:rPr>
          <w:rFonts w:hint="eastAsia" w:ascii="方正小标宋简体" w:eastAsia="方正小标宋简体"/>
          <w:sz w:val="32"/>
          <w:szCs w:val="32"/>
        </w:rPr>
        <w:t>四、部门预算整体绩效管理情况</w:t>
      </w:r>
    </w:p>
    <w:p>
      <w:pPr>
        <w:ind w:firstLine="643" w:firstLineChars="200"/>
        <w:rPr>
          <w:rFonts w:ascii="楷体" w:hAnsi="楷体" w:eastAsia="楷体"/>
          <w:b/>
          <w:sz w:val="32"/>
          <w:szCs w:val="32"/>
        </w:rPr>
      </w:pPr>
      <w:r>
        <w:rPr>
          <w:rFonts w:hint="eastAsia" w:ascii="楷体" w:hAnsi="楷体" w:eastAsia="楷体"/>
          <w:b/>
          <w:sz w:val="32"/>
          <w:szCs w:val="32"/>
        </w:rPr>
        <w:t>（一）预算编制</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预算编制方面，</w:t>
      </w:r>
      <w:r>
        <w:rPr>
          <w:rFonts w:hint="eastAsia" w:ascii="仿宋_GB2312" w:eastAsia="仿宋_GB2312"/>
          <w:sz w:val="32"/>
          <w:szCs w:val="32"/>
        </w:rPr>
        <w:t>市水利局及下属单位</w:t>
      </w:r>
      <w:r>
        <w:rPr>
          <w:rFonts w:hint="eastAsia" w:ascii="仿宋_GB2312" w:hAnsi="仿宋" w:eastAsia="仿宋_GB2312"/>
          <w:sz w:val="32"/>
          <w:szCs w:val="32"/>
        </w:rPr>
        <w:t>严格按照预算管理的相关规定和部门经费预算编制要求，遵循“保障重点，兼顾一般，厉行节约，制止奢侈浪费，降低行政成本，注重资金使用效益”的原则，科学合理编制部门预算经费，并在规定时效内及时报送。</w:t>
      </w:r>
    </w:p>
    <w:p>
      <w:pPr>
        <w:spacing w:line="360" w:lineRule="auto"/>
        <w:ind w:firstLine="643" w:firstLineChars="200"/>
        <w:rPr>
          <w:rFonts w:ascii="楷体" w:hAnsi="楷体" w:eastAsia="楷体"/>
          <w:b/>
          <w:sz w:val="32"/>
          <w:szCs w:val="32"/>
        </w:rPr>
      </w:pPr>
      <w:r>
        <w:rPr>
          <w:rFonts w:hint="eastAsia" w:ascii="楷体" w:hAnsi="楷体" w:eastAsia="楷体"/>
          <w:b/>
          <w:sz w:val="32"/>
          <w:szCs w:val="32"/>
        </w:rPr>
        <w:t>（二）决算编制</w:t>
      </w:r>
    </w:p>
    <w:p>
      <w:pPr>
        <w:spacing w:line="360" w:lineRule="auto"/>
        <w:ind w:firstLine="640" w:firstLineChars="200"/>
        <w:rPr>
          <w:rFonts w:ascii="仿宋_GB2312" w:hAnsi="仿宋" w:eastAsia="仿宋_GB2312"/>
          <w:sz w:val="32"/>
          <w:szCs w:val="32"/>
        </w:rPr>
      </w:pPr>
      <w:r>
        <w:rPr>
          <w:rFonts w:hint="eastAsia" w:ascii="仿宋_GB2312" w:eastAsia="仿宋_GB2312"/>
          <w:sz w:val="32"/>
          <w:szCs w:val="32"/>
        </w:rPr>
        <w:t>市水利局及下属单位</w:t>
      </w:r>
      <w:r>
        <w:rPr>
          <w:rFonts w:hint="eastAsia" w:ascii="仿宋_GB2312" w:hAnsi="仿宋" w:eastAsia="仿宋_GB2312"/>
          <w:sz w:val="32"/>
          <w:szCs w:val="32"/>
        </w:rPr>
        <w:t>按照《攀枝花市财政局关于编制2018年部门决算的通知》有关要求和填报口径，按时完成2018年部门决算编制和汇总上报。</w:t>
      </w:r>
    </w:p>
    <w:p>
      <w:pPr>
        <w:ind w:firstLine="643" w:firstLineChars="200"/>
        <w:rPr>
          <w:rFonts w:ascii="楷体" w:hAnsi="楷体" w:eastAsia="楷体"/>
          <w:b/>
          <w:sz w:val="32"/>
          <w:szCs w:val="32"/>
        </w:rPr>
      </w:pPr>
      <w:r>
        <w:rPr>
          <w:rFonts w:hint="eastAsia" w:ascii="楷体" w:hAnsi="楷体" w:eastAsia="楷体"/>
          <w:b/>
          <w:sz w:val="32"/>
          <w:szCs w:val="32"/>
        </w:rPr>
        <w:t>（三）内控制度</w:t>
      </w:r>
    </w:p>
    <w:p>
      <w:pPr>
        <w:ind w:firstLine="640" w:firstLineChars="200"/>
        <w:rPr>
          <w:rFonts w:ascii="仿宋_GB2312" w:hAnsi="仿宋" w:eastAsia="仿宋_GB2312"/>
          <w:sz w:val="32"/>
          <w:szCs w:val="32"/>
        </w:rPr>
      </w:pPr>
      <w:r>
        <w:rPr>
          <w:rFonts w:hint="eastAsia" w:ascii="仿宋_GB2312" w:hAnsi="仿宋" w:eastAsia="仿宋_GB2312"/>
          <w:sz w:val="32"/>
          <w:szCs w:val="32"/>
        </w:rPr>
        <w:t>市水利局按照财政资金管理相关要求，本着“</w:t>
      </w:r>
      <w:r>
        <w:rPr>
          <w:rFonts w:hint="eastAsia" w:ascii="仿宋" w:hAnsi="仿宋" w:eastAsia="仿宋"/>
          <w:sz w:val="28"/>
          <w:szCs w:val="28"/>
        </w:rPr>
        <w:t>全面性、重要性、制衡性、适应性”的编制原则，</w:t>
      </w:r>
      <w:r>
        <w:rPr>
          <w:rFonts w:hint="eastAsia" w:ascii="仿宋_GB2312" w:hAnsi="仿宋" w:eastAsia="仿宋_GB2312"/>
          <w:sz w:val="32"/>
          <w:szCs w:val="32"/>
        </w:rPr>
        <w:t>制定《攀枝供给市水利局内部控制手册（试行）》，</w:t>
      </w:r>
      <w:r>
        <w:rPr>
          <w:rFonts w:hint="eastAsia" w:ascii="仿宋_GB2312" w:eastAsia="仿宋_GB2312"/>
          <w:sz w:val="32"/>
          <w:szCs w:val="32"/>
        </w:rPr>
        <w:t>涵盖了预算业务管理、收支业务管理、政府采购业务管理、资产管理、建设项目管理、合同管理、专项审计等方面的内控管理</w:t>
      </w:r>
      <w:r>
        <w:rPr>
          <w:rFonts w:hint="eastAsia" w:ascii="仿宋_GB2312" w:hAnsi="仿宋" w:eastAsia="仿宋_GB2312"/>
          <w:sz w:val="32"/>
          <w:szCs w:val="32"/>
        </w:rPr>
        <w:t>，通过建立内控体系，明确管理流程，落实监管责任，</w:t>
      </w:r>
      <w:bookmarkStart w:id="0" w:name="_GoBack"/>
      <w:bookmarkEnd w:id="0"/>
      <w:r>
        <w:rPr>
          <w:rFonts w:hint="eastAsia" w:ascii="仿宋_GB2312" w:hAnsi="仿宋" w:eastAsia="仿宋_GB2312"/>
          <w:sz w:val="32"/>
          <w:szCs w:val="32"/>
        </w:rPr>
        <w:t>将风险防控前置，从而确保财政资金安全和规范使用。</w:t>
      </w:r>
    </w:p>
    <w:p>
      <w:pPr>
        <w:ind w:firstLine="643" w:firstLineChars="200"/>
        <w:rPr>
          <w:rFonts w:ascii="楷体" w:hAnsi="楷体" w:eastAsia="楷体"/>
          <w:b/>
          <w:sz w:val="32"/>
          <w:szCs w:val="32"/>
        </w:rPr>
      </w:pPr>
      <w:r>
        <w:rPr>
          <w:rFonts w:hint="eastAsia" w:ascii="楷体" w:hAnsi="楷体" w:eastAsia="楷体"/>
          <w:b/>
          <w:sz w:val="32"/>
          <w:szCs w:val="32"/>
        </w:rPr>
        <w:t>（四）绩效目标</w:t>
      </w:r>
    </w:p>
    <w:p>
      <w:pPr>
        <w:snapToGrid w:val="0"/>
        <w:spacing w:line="600" w:lineRule="exact"/>
        <w:ind w:firstLine="640" w:firstLineChars="200"/>
        <w:rPr>
          <w:rFonts w:ascii="仿宋_GB2312" w:eastAsia="仿宋_GB2312"/>
          <w:b/>
          <w:sz w:val="32"/>
          <w:szCs w:val="32"/>
        </w:rPr>
      </w:pPr>
      <w:r>
        <w:rPr>
          <w:rFonts w:hint="eastAsia" w:ascii="仿宋_GB2312" w:eastAsia="仿宋_GB2312"/>
          <w:sz w:val="32"/>
          <w:szCs w:val="32"/>
        </w:rPr>
        <w:t>市水利局及下属单位在编制部门预算时，结合相关政策、社会发展要求、部门职责、部门中长期规划、市委市政府政府工作部署等方面，对专项项目均编制了绩效目标。</w:t>
      </w:r>
    </w:p>
    <w:p>
      <w:pPr>
        <w:ind w:firstLine="600"/>
        <w:rPr>
          <w:rFonts w:ascii="楷体" w:hAnsi="楷体" w:eastAsia="楷体"/>
          <w:b/>
          <w:sz w:val="32"/>
          <w:szCs w:val="32"/>
        </w:rPr>
      </w:pPr>
      <w:r>
        <w:rPr>
          <w:rFonts w:hint="eastAsia" w:ascii="楷体" w:hAnsi="楷体" w:eastAsia="楷体"/>
          <w:b/>
          <w:sz w:val="32"/>
          <w:szCs w:val="32"/>
        </w:rPr>
        <w:t>（五）预算执行</w:t>
      </w:r>
    </w:p>
    <w:p>
      <w:pPr>
        <w:ind w:firstLine="640" w:firstLineChars="200"/>
        <w:rPr>
          <w:rFonts w:ascii="仿宋_GB2312" w:hAnsi="仿宋" w:eastAsia="仿宋_GB2312"/>
          <w:sz w:val="32"/>
          <w:szCs w:val="32"/>
        </w:rPr>
      </w:pPr>
      <w:r>
        <w:rPr>
          <w:rFonts w:hint="eastAsia" w:ascii="仿宋_GB2312" w:eastAsia="仿宋_GB2312"/>
          <w:sz w:val="32"/>
          <w:szCs w:val="32"/>
        </w:rPr>
        <w:t>市水利局及下属单位</w:t>
      </w:r>
      <w:r>
        <w:rPr>
          <w:rFonts w:hint="eastAsia" w:ascii="仿宋_GB2312" w:hAnsi="仿宋" w:eastAsia="仿宋_GB2312"/>
          <w:sz w:val="32"/>
          <w:szCs w:val="32"/>
        </w:rPr>
        <w:t>全年预算执行基本正常，收入支出进度总体上达到序时进度。在预算执行中，日常公用支出无新增预算，人员经费新增预算是根据市委、市政府确定的相关政策追加；项目经费新增预算是根据市委、市政府和上级部门布置的新增工作任务经市财政部门严格审查并上报市政府批准后追加。受机构改革职能调整及办公室调整等因素影响，个别年初预算专项项目存在调整情况，年初预算下达市水利局机关的防汛指挥部调度室改造项目预算，因办公地点等待调整而未执行。</w:t>
      </w:r>
    </w:p>
    <w:p>
      <w:pPr>
        <w:ind w:left="160" w:leftChars="76" w:firstLine="482" w:firstLineChars="150"/>
        <w:rPr>
          <w:rFonts w:ascii="楷体" w:hAnsi="楷体" w:eastAsia="楷体"/>
          <w:b/>
          <w:sz w:val="32"/>
          <w:szCs w:val="32"/>
        </w:rPr>
      </w:pPr>
      <w:r>
        <w:rPr>
          <w:rFonts w:hint="eastAsia" w:ascii="楷体" w:hAnsi="楷体" w:eastAsia="楷体"/>
          <w:b/>
          <w:sz w:val="32"/>
          <w:szCs w:val="32"/>
        </w:rPr>
        <w:t>（六）信息公开</w:t>
      </w:r>
    </w:p>
    <w:p>
      <w:pPr>
        <w:ind w:left="160" w:leftChars="76" w:firstLine="480" w:firstLineChars="150"/>
        <w:rPr>
          <w:rFonts w:ascii="仿宋_GB2312" w:eastAsia="仿宋_GB2312"/>
          <w:sz w:val="32"/>
          <w:szCs w:val="32"/>
        </w:rPr>
      </w:pPr>
      <w:r>
        <w:rPr>
          <w:rFonts w:hint="eastAsia" w:ascii="仿宋_GB2312" w:eastAsia="仿宋_GB2312"/>
          <w:sz w:val="32"/>
          <w:szCs w:val="32"/>
        </w:rPr>
        <w:t>市水利局及下属单位按规定，2019年部门预算于2019年6月24日公开；2018年部门决算于2019年9月23日公开；2018年部门整体预算绩效自评报告于2019年7月9日公开。</w:t>
      </w:r>
    </w:p>
    <w:p>
      <w:pPr>
        <w:ind w:left="160" w:leftChars="76" w:firstLine="482" w:firstLineChars="150"/>
        <w:rPr>
          <w:rFonts w:ascii="楷体" w:hAnsi="楷体" w:eastAsia="楷体"/>
          <w:b/>
          <w:sz w:val="32"/>
          <w:szCs w:val="32"/>
        </w:rPr>
      </w:pPr>
      <w:r>
        <w:rPr>
          <w:rFonts w:hint="eastAsia" w:ascii="楷体" w:hAnsi="楷体" w:eastAsia="楷体"/>
          <w:b/>
          <w:sz w:val="32"/>
          <w:szCs w:val="32"/>
        </w:rPr>
        <w:t>（七）绩效评价</w:t>
      </w:r>
    </w:p>
    <w:p>
      <w:pPr>
        <w:ind w:left="160" w:leftChars="76" w:firstLine="480" w:firstLineChars="150"/>
        <w:rPr>
          <w:rFonts w:ascii="仿宋_GB2312" w:eastAsia="仿宋_GB2312"/>
          <w:sz w:val="32"/>
          <w:szCs w:val="32"/>
        </w:rPr>
      </w:pPr>
      <w:r>
        <w:rPr>
          <w:rFonts w:hint="eastAsia" w:ascii="仿宋_GB2312" w:eastAsia="仿宋_GB2312"/>
          <w:sz w:val="32"/>
          <w:szCs w:val="32"/>
        </w:rPr>
        <w:t>市水利局按要求，认真组织局机关和3个下属单位开展2019年部门整体预算绩效自评工作，在及时与市财政局沟通的基础上，形成绩效评价自评报告和自评表，并按规定于2020年4月26日以《攀枝花市水利局关于报送本部门2019年部门预算整体绩效自评报告的函》（攀水函〔2020〕71号）正式上报。</w:t>
      </w:r>
    </w:p>
    <w:p>
      <w:pPr>
        <w:ind w:left="160" w:leftChars="76" w:firstLine="480" w:firstLineChars="150"/>
        <w:rPr>
          <w:rFonts w:ascii="方正小标宋简体" w:eastAsia="方正小标宋简体"/>
          <w:sz w:val="32"/>
          <w:szCs w:val="32"/>
        </w:rPr>
      </w:pPr>
      <w:r>
        <w:rPr>
          <w:rFonts w:hint="eastAsia" w:ascii="方正小标宋简体" w:eastAsia="方正小标宋简体"/>
          <w:sz w:val="32"/>
          <w:szCs w:val="32"/>
        </w:rPr>
        <w:t>五、部门预算支出绩效</w:t>
      </w:r>
    </w:p>
    <w:p>
      <w:pPr>
        <w:spacing w:line="560" w:lineRule="exact"/>
        <w:ind w:firstLine="643" w:firstLineChars="200"/>
        <w:rPr>
          <w:rFonts w:ascii="楷体" w:hAnsi="楷体" w:eastAsia="楷体" w:cs="Times New Roman"/>
          <w:b/>
          <w:bCs/>
          <w:sz w:val="32"/>
          <w:szCs w:val="32"/>
        </w:rPr>
      </w:pPr>
      <w:r>
        <w:rPr>
          <w:rFonts w:hint="eastAsia" w:ascii="楷体" w:hAnsi="楷体" w:eastAsia="楷体" w:cs="Times New Roman"/>
          <w:b/>
          <w:bCs/>
          <w:sz w:val="32"/>
          <w:szCs w:val="32"/>
        </w:rPr>
        <w:t>（一）水利建设成效显现</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重点工程推进有力。观音岩引水工程取得阶段性胜利，陶家渡水厂、小宝鼎水厂相继通水，完成投资19694.49万元，完成年度目标任务的187.56%。统筹推进老街子、沙坝等2座中型水库前期工作。梅子箐水库、高涧沟水库、马鞍山水库、小河沟水库和安宁河干流草场段堤防等建设工程按进度推进，麻晃引水工程、米易县丙谷镇小河汇口段中小河流防洪治理工程全面完工。灾后薄弱环节病险水库除险加固及中小河流防洪治理项目进展顺利，市政府报告中确定的16座小型病险水库除险加固项目全部完成建设任务。</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——农田水利惠民富民。</w:t>
      </w:r>
      <w:r>
        <w:rPr>
          <w:rFonts w:hint="eastAsia" w:ascii="仿宋_GB2312" w:hAnsi="Times New Roman" w:eastAsia="仿宋_GB2312" w:cs="Times New Roman"/>
          <w:bCs/>
          <w:sz w:val="32"/>
          <w:szCs w:val="32"/>
        </w:rPr>
        <w:t>农村饮水安全继续得以巩固提升，</w:t>
      </w:r>
      <w:r>
        <w:rPr>
          <w:rFonts w:hint="eastAsia" w:ascii="仿宋_GB2312" w:hAnsi="Times New Roman" w:eastAsia="仿宋_GB2312" w:cs="Times New Roman"/>
          <w:sz w:val="32"/>
          <w:szCs w:val="32"/>
        </w:rPr>
        <w:t>完成农村饮水安全巩固提升工程受益人口4130人，超额完成目标任务166％；解决建卡脱贫人员493户2525人饮水安全问题，超额完成目标任务276％和278％。</w:t>
      </w:r>
    </w:p>
    <w:p>
      <w:pPr>
        <w:spacing w:line="560" w:lineRule="exact"/>
        <w:ind w:firstLine="643" w:firstLineChars="200"/>
        <w:rPr>
          <w:rFonts w:ascii="楷体" w:hAnsi="楷体" w:eastAsia="楷体" w:cs="Times New Roman"/>
          <w:b/>
          <w:bCs/>
          <w:sz w:val="32"/>
          <w:szCs w:val="32"/>
        </w:rPr>
      </w:pPr>
      <w:r>
        <w:rPr>
          <w:rFonts w:hint="eastAsia" w:ascii="楷体" w:hAnsi="楷体" w:eastAsia="楷体" w:cs="Times New Roman"/>
          <w:b/>
          <w:bCs/>
          <w:sz w:val="32"/>
          <w:szCs w:val="32"/>
        </w:rPr>
        <w:t>（二）水利行业管理有效</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bCs/>
          <w:sz w:val="32"/>
          <w:szCs w:val="32"/>
        </w:rPr>
        <w:t>1.防汛抗旱措施有力</w:t>
      </w:r>
    </w:p>
    <w:p>
      <w:pPr>
        <w:spacing w:line="560" w:lineRule="exact"/>
        <w:ind w:firstLine="800" w:firstLineChars="25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softHyphen/>
      </w:r>
      <w:r>
        <w:rPr>
          <w:rFonts w:hint="eastAsia" w:ascii="仿宋_GB2312" w:hAnsi="Times New Roman" w:eastAsia="仿宋_GB2312" w:cs="Times New Roman"/>
          <w:bCs/>
          <w:sz w:val="32"/>
          <w:szCs w:val="32"/>
        </w:rPr>
        <w:softHyphen/>
      </w:r>
      <w:r>
        <w:rPr>
          <w:rFonts w:hint="eastAsia" w:ascii="仿宋_GB2312" w:hAnsi="Times New Roman" w:eastAsia="仿宋_GB2312" w:cs="Times New Roman"/>
          <w:bCs/>
          <w:sz w:val="32"/>
          <w:szCs w:val="32"/>
        </w:rPr>
        <w:t>——抗旱减损有效应对“四连旱”。</w:t>
      </w:r>
      <w:r>
        <w:rPr>
          <w:rFonts w:hint="eastAsia" w:ascii="仿宋_GB2312" w:hAnsi="Times New Roman" w:eastAsia="仿宋_GB2312" w:cs="Times New Roman"/>
          <w:sz w:val="32"/>
          <w:szCs w:val="32"/>
        </w:rPr>
        <w:t>面对持续262天无雨连旱，科学调度水源，全市累计投入抗旱资金1028.6万元，投入抗旱人数56882人次，调水3000余万方，解决饮水困难人口7000余人次，修复抗旱备用井 68 处，饮水管道 16.42千米，保障15.2 万人最基本用水。修复灌溉渠系400多公里，修复取水口、拦水坝150处，新增和恢复蓄引提能力7000余万立方米。推广抗旱粮食作物面积16.5万亩，实施节水灌溉技术，力争做到抗旱减产不减收。</w:t>
      </w:r>
    </w:p>
    <w:p>
      <w:pPr>
        <w:spacing w:line="560" w:lineRule="exact"/>
        <w:ind w:firstLine="800" w:firstLineChars="250"/>
        <w:rPr>
          <w:rFonts w:ascii="仿宋_GB2312" w:hAnsi="Times New Roman" w:eastAsia="仿宋_GB2312" w:cs="Times New Roman"/>
          <w:sz w:val="32"/>
          <w:szCs w:val="32"/>
        </w:rPr>
      </w:pPr>
      <w:r>
        <w:rPr>
          <w:rFonts w:hint="eastAsia" w:ascii="仿宋_GB2312" w:hAnsi="Times New Roman" w:eastAsia="仿宋_GB2312" w:cs="Times New Roman"/>
          <w:bCs/>
          <w:sz w:val="32"/>
          <w:szCs w:val="32"/>
        </w:rPr>
        <w:t>——防汛减灾责任落实实现“零”伤亡。</w:t>
      </w:r>
      <w:r>
        <w:rPr>
          <w:rFonts w:hint="eastAsia" w:ascii="仿宋_GB2312" w:hAnsi="Times New Roman" w:eastAsia="仿宋_GB2312" w:cs="Times New Roman"/>
          <w:sz w:val="32"/>
          <w:szCs w:val="32"/>
        </w:rPr>
        <w:t>全面落实省、市安排部署，压紧压实防汛责任，落实全市182座水库、178个山洪灾害危险区、96座水电站等防汛三个责任人924人。建立水利专家队伍15支60余人，提升应急抢险技术支撑，成功应对8月8日夜间～8月9日仁和区太平乡山体塌方灾害。实现了2019年全市防汛减灾“零”伤亡，有效保障人民群众生命财产安全。</w:t>
      </w:r>
    </w:p>
    <w:p>
      <w:pPr>
        <w:spacing w:line="560" w:lineRule="exact"/>
        <w:ind w:firstLine="640" w:firstLineChars="20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2.河湖管理更加精细</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统筹推进河（湖）长制工作“六大任务”。修订完善5条河流“一河一策”保护方案和工作清单。建立起行政管理与司法衔接制度，探索实施“河道+警长”“河道+法检两长”等模式，扎实开展金沙江干支流“清四乱”（乱占、乱采、乱堆、乱建）行动、非法采砂专项打击整治行动、违法违规占用国家资源挤占自然生态空间专项清理整治行动和违建别墅清理整治工作等，河湖面貌持续改善，水利部挂号18个河湖“四乱”问题全部整改完成。持续开展 2019 年春季、秋季“清河、护岸、净水、保水”四项行动，实打实查问题、抓整改。开展河湖管理保护示范县建设，实施米易县城南生态湖、仁和区大河路歇桥段水环境综合整治项目，着力打造一批样板河湖。开展“英雄攀枝花·阳光康阳地”最美江河湖摄影比赛和图片展览，开展河长制“进党校、进校园、进机关、进社区、进企业”的五进宣传活动等。水利部、生态环境部开展全面推行河（湖）长制第三方评估，我市代表四川省获得“好评”。</w:t>
      </w:r>
    </w:p>
    <w:p>
      <w:pPr>
        <w:spacing w:line="560" w:lineRule="exact"/>
        <w:ind w:firstLine="640" w:firstLineChars="20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3.水资源管理能力提升</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逗硬最严格水资源管理制度考核，严格落实水资源管理“三条红线”，强化取水许可审批，加强用水定额和计划用水管理，提升用水总量统计水平；深入推进水资源税试点改革，加强取水计量设施管理和用水户水量核定，预计全市依法征收水资源税1.2亿元；持续开展节水型社会建设，推进西区、仁和区2个节水型社会重点县达标建设，仁和区年内接受省级评估考核；优化水资源配置，首次实施跃进水库、胜利水库和大竹河水库水资源联合调度，保障大河流域健康水生态；开展长江流域取水工程（设施）核查登记，已清理登记取水设施名录516个。</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bCs/>
          <w:sz w:val="32"/>
          <w:szCs w:val="32"/>
        </w:rPr>
        <w:t>4.水生态保护落实到位</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bCs/>
          <w:sz w:val="32"/>
          <w:szCs w:val="32"/>
        </w:rPr>
        <w:t>——全面落实生态环境保护“一岗双责”。</w:t>
      </w:r>
      <w:r>
        <w:rPr>
          <w:rFonts w:hint="eastAsia" w:ascii="仿宋_GB2312" w:hAnsi="Times New Roman" w:eastAsia="仿宋_GB2312" w:cs="Times New Roman"/>
          <w:sz w:val="32"/>
          <w:szCs w:val="32"/>
        </w:rPr>
        <w:t>实行生态环境保护季度工作例会制度，分析研判涉水环境保护工作形势，查找生态环境保护突出问题，推动各项涉水环境保护工作落实。落实环保督察整改问题和信访举报件调度机制，有序推进各类涉水环保督察问题、中央信访举报件问题整改。</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bCs/>
          <w:sz w:val="32"/>
          <w:szCs w:val="32"/>
        </w:rPr>
        <w:t>——推进水电站下泄生态流量问题整改。</w:t>
      </w:r>
      <w:r>
        <w:rPr>
          <w:rFonts w:hint="eastAsia" w:ascii="仿宋_GB2312" w:hAnsi="Times New Roman" w:eastAsia="仿宋_GB2312" w:cs="Times New Roman"/>
          <w:sz w:val="32"/>
          <w:szCs w:val="32"/>
        </w:rPr>
        <w:t>严格对照省、市整改工作部署和要求，以维护河流生命健康为目标导向，增添举措，整合力量，牵头抓好水电站下泄生态流量问题整改落实。全市所有纳入整改范畴的水电站，已于2019年6月底前全部完成下泄生态流量泄放措施整改，搭建完成生态流量监管平台；10月底前已完成监控和流量监测设施安装并完成县级、市级整改验收工作。</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bCs/>
          <w:sz w:val="32"/>
          <w:szCs w:val="32"/>
        </w:rPr>
        <w:t>——抓好长江大保护各项工作。</w:t>
      </w:r>
      <w:r>
        <w:rPr>
          <w:rFonts w:hint="eastAsia" w:ascii="仿宋_GB2312" w:hAnsi="Times New Roman" w:eastAsia="仿宋_GB2312" w:cs="Times New Roman"/>
          <w:sz w:val="32"/>
          <w:szCs w:val="32"/>
        </w:rPr>
        <w:t>开展长江经济带小水电清理整改，清理评估各类电站99座，并及时上报分类处理意见；开展长江流域取水工程（设施）核查登记，全市清理核查取水户目录429个，已登记312个；开展长江经济带生产建设项目水土保持监督执法专项行动，全市查处水土保持违法项目7个、共处罚金94.2万元，追缴72个项目水土保持补偿费1928.7万元。</w:t>
      </w:r>
    </w:p>
    <w:p>
      <w:pPr>
        <w:spacing w:line="560" w:lineRule="exact"/>
        <w:ind w:firstLine="640" w:firstLineChars="200"/>
        <w:rPr>
          <w:rFonts w:ascii="仿宋_GB2312" w:hAnsi="方正楷体_GBK" w:eastAsia="仿宋_GB2312" w:cs="方正楷体_GBK"/>
          <w:bCs/>
          <w:sz w:val="32"/>
          <w:szCs w:val="32"/>
        </w:rPr>
      </w:pPr>
      <w:r>
        <w:rPr>
          <w:rFonts w:hint="eastAsia" w:ascii="仿宋_GB2312" w:hAnsi="方正楷体_GBK" w:eastAsia="仿宋_GB2312" w:cs="方正楷体_GBK"/>
          <w:bCs/>
          <w:sz w:val="32"/>
          <w:szCs w:val="32"/>
        </w:rPr>
        <w:t>5.水土保持强监管、补短板</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深入开展长江经济带生产建设项目水土保持监督执法专项行动，印发了《长江经济带生产建设项目水土保持监督执法专项行动攀枝花实施方案》，按照“四个一批”要求，约谈成昆铁路、攀大高速、得天矿业等生产建设项目业主66个，严格查处、曝光“未批先建”、“未验先投”、“不依法履行水土流失防治义务”三类违法项目7个，挂牌督办项目5个，组织完成了426个疑似扰动图班的现场复核，并对30个疑似违法违规项目进行查处，追缴省、市、县（区）72个项目水土保持补偿费，全市水土保持强监管的氛围初步形成，长江经济带生产建设项目水土保持专项执法行动取得显著成效。加强水土流失综合治理，加快推进米易县顶针小流域国家重点工程和盐边县红格坡耕地治理。综合治理水土流失面积108平方公里，完成年度目标任务。加快水土保持信息化建设，完成2014-2019年度124个生产建设项目水土保持信息录入全国水土保持监督管理系统工作。</w:t>
      </w:r>
    </w:p>
    <w:p>
      <w:pPr>
        <w:spacing w:line="560" w:lineRule="exact"/>
        <w:ind w:firstLine="640" w:firstLineChars="20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6.水利脱贫持续推进</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截至目前，全市水利脱贫攻坚2018～2019年跨年投资11794万元，解决了7926名农村贫困人口的饮水安全问题，在贫困区域建设了2个水源工程，建成高效节水灌溉面积1.6833 万亩，完成渠道整治29.29千米，建成蓄水池38口，完成小型病险水库除险加固9座，中小河道治理完成10.41千米。截止目前，盐边县已全部完成凉山自发搬迁贫困群众64户315人的饮水安全目标任务；米易县已完成2019年脱贫的凉山自发搬迁农村饮水安全巩固提升工程人口429户2210人饮水任务，2020年脱贫的凉山自发搬迁农村饮水安全巩固提升工程人口饮水工程已完成90%（未完成供水户原因为住房搬迁地址未落实）。全市水利脱贫攻坚已基本完成我市的“十三五”水利脱贫攻坚主要目标任务（2018-2020三年目标任务）。</w:t>
      </w:r>
    </w:p>
    <w:p>
      <w:pPr>
        <w:spacing w:line="560" w:lineRule="exact"/>
        <w:ind w:firstLine="640" w:firstLineChars="20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7.安全生产平稳向好</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全市水利系统按照“水利工程补短板、水利行业强监管”的新时期水利工作总基调，狠抓岁末年初、元旦、春节、“两会”、汛期、端午、中秋等重要时段安全防范，不断强化水利安全生产监管措施，深入开展水利行业安全生产大检查和五项专项整治行动，切实开展水利安全生产宣传教育，强化应急值班值守，全面落实水库防汛“四个责任人”，大力整治小型水库，筑牢了安全防线。全力做实水利安全生产督查督导工作。核心督查在建水利工程建设管理和已成水利工程运行管理安全生产情况，以观音岩引水工程、梅子箐马鞍山水库、米易麻晃引水、下河沟水库、中小河流治理项目、病险水库出现加固、节水型社会重点县建设项目和4座已成中型水库为重点，对各单位安全生产管理责任落实、安全生产管理制度建立和执行、安全风险管控、隐患排查治理、应急管理等情况进行全覆盖督导检查。着力提高水利生产经营单位本质安全水平，坚决防范重特大事故，减少较大事故和一般事故，截至8月底，共计开展检查141次，排查整改一般安全隐患112项，整改率达100%，未发现重大安全隐患。1-9月，同比，事故起数、死亡人数、受伤人数均下降100%，实现安全生产“零”事故。同时加强了全市水利系统食品安全工作，按照食品安全相关要求，对水利工程建设工地食堂等可能存在食品安全问题单位、场所进行了督促检查，2019年全市水利系统及其管理范围未发生食品安全事故。全市水利安全生产形势平稳向好。</w:t>
      </w:r>
    </w:p>
    <w:p>
      <w:pPr>
        <w:spacing w:line="560" w:lineRule="exact"/>
        <w:ind w:firstLine="640" w:firstLineChars="200"/>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8.水利改革稳步推进</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加强水库安全管理，落实水利部小型水库安全运行管理三年行动方案，开展水库大坝安全隐患排查治理，消除水库安全隐患。投入1050万元，完成177座水库动态监测系统建设，并在全省率先上线运行，</w:t>
      </w:r>
      <w:r>
        <w:rPr>
          <w:rFonts w:hint="eastAsia" w:ascii="仿宋_GB2312" w:hAnsi="Times New Roman" w:eastAsia="仿宋_GB2312" w:cs="Times New Roman"/>
          <w:bCs/>
          <w:sz w:val="32"/>
          <w:szCs w:val="32"/>
        </w:rPr>
        <w:t>为水库装上了“慧眼”，实现了视频监控现场情况、出现险情短信预警，牢牢把握水库防汛主动权。</w:t>
      </w:r>
      <w:r>
        <w:rPr>
          <w:rFonts w:hint="eastAsia" w:ascii="仿宋_GB2312" w:hAnsi="Times New Roman" w:eastAsia="仿宋_GB2312" w:cs="Times New Roman"/>
          <w:sz w:val="32"/>
          <w:szCs w:val="32"/>
        </w:rPr>
        <w:t>推进“水美新村”建设试点工作，9个水美新村建设建设已完成，超额完成改革任务。继续深入推进农业水价综合改革，完成改革面积 3.732万亩，完成年度目标任务的 110.58%。继续深入推进农业水价综合改革，推进生活用水、工业用水的用水总量控制和超定额累进加价制度。推动水利水电勘测设计院转企改制。进一步强化“放管服”政务服务改革，优化办事审批流程，我局100%审批事项列入全市“最多跑一次”目录清单，80%的行政审批项目从受理到办结压缩成7个工作日。</w:t>
      </w:r>
    </w:p>
    <w:p>
      <w:pPr>
        <w:ind w:left="160" w:leftChars="76" w:firstLine="480" w:firstLineChars="150"/>
        <w:rPr>
          <w:rFonts w:ascii="方正小标宋简体" w:eastAsia="方正小标宋简体"/>
          <w:sz w:val="32"/>
          <w:szCs w:val="32"/>
        </w:rPr>
      </w:pPr>
      <w:r>
        <w:rPr>
          <w:rFonts w:hint="eastAsia" w:ascii="方正小标宋简体" w:eastAsia="方正小标宋简体"/>
          <w:sz w:val="32"/>
          <w:szCs w:val="32"/>
        </w:rPr>
        <w:t>六、评价结论和工作建议</w:t>
      </w:r>
    </w:p>
    <w:p>
      <w:pPr>
        <w:ind w:left="160" w:leftChars="76" w:firstLine="482" w:firstLineChars="150"/>
        <w:rPr>
          <w:rFonts w:ascii="楷体" w:hAnsi="楷体" w:eastAsia="楷体"/>
          <w:b/>
          <w:sz w:val="32"/>
          <w:szCs w:val="32"/>
        </w:rPr>
      </w:pPr>
      <w:r>
        <w:rPr>
          <w:rFonts w:hint="eastAsia" w:ascii="楷体" w:hAnsi="楷体" w:eastAsia="楷体"/>
          <w:b/>
          <w:sz w:val="32"/>
          <w:szCs w:val="32"/>
        </w:rPr>
        <w:t>（一）评价结论</w:t>
      </w:r>
    </w:p>
    <w:p>
      <w:pPr>
        <w:ind w:left="160" w:leftChars="76" w:firstLine="480" w:firstLineChars="150"/>
        <w:rPr>
          <w:rFonts w:ascii="仿宋_GB2312" w:hAnsi="仿宋" w:eastAsia="仿宋_GB2312"/>
          <w:sz w:val="32"/>
          <w:szCs w:val="32"/>
        </w:rPr>
      </w:pPr>
      <w:r>
        <w:rPr>
          <w:rFonts w:hint="eastAsia" w:ascii="仿宋_GB2312" w:hAnsi="仿宋" w:eastAsia="仿宋_GB2312"/>
          <w:sz w:val="32"/>
          <w:szCs w:val="32"/>
        </w:rPr>
        <w:t>通过部门预决算编制、预算执行管理、支出绩效情况等方面的综合评价，市水利局及其下属单位2019年部门预算整体绩效较好，考评得分91.52分。</w:t>
      </w:r>
    </w:p>
    <w:p>
      <w:pPr>
        <w:ind w:left="160" w:leftChars="76" w:firstLine="482" w:firstLineChars="150"/>
        <w:rPr>
          <w:rFonts w:ascii="楷体" w:hAnsi="楷体" w:eastAsia="楷体"/>
          <w:b/>
          <w:color w:val="FF0000"/>
          <w:sz w:val="32"/>
          <w:szCs w:val="32"/>
        </w:rPr>
      </w:pPr>
      <w:r>
        <w:rPr>
          <w:rFonts w:hint="eastAsia" w:ascii="楷体" w:hAnsi="楷体" w:eastAsia="楷体"/>
          <w:b/>
          <w:sz w:val="32"/>
          <w:szCs w:val="32"/>
        </w:rPr>
        <w:t>（二）存在的主要问题</w:t>
      </w:r>
    </w:p>
    <w:p>
      <w:pPr>
        <w:ind w:left="160" w:leftChars="76" w:firstLine="480" w:firstLineChars="150"/>
        <w:rPr>
          <w:rFonts w:ascii="仿宋_GB2312" w:hAnsi="仿宋" w:eastAsia="仿宋_GB2312"/>
          <w:sz w:val="32"/>
          <w:szCs w:val="32"/>
        </w:rPr>
      </w:pPr>
      <w:r>
        <w:rPr>
          <w:rFonts w:hint="eastAsia" w:ascii="仿宋_GB2312" w:hAnsi="仿宋" w:eastAsia="仿宋_GB2312"/>
          <w:sz w:val="32"/>
          <w:szCs w:val="32"/>
        </w:rPr>
        <w:t>1.预算批复不到位。按照预算管理要求，市财政局将该部门预算及绩效目标整体批复到主管部门，二级预算单位的部门预算由主管部门批复，2019年，市水利局未按要求将部门预算批复到下属单位。</w:t>
      </w:r>
    </w:p>
    <w:p>
      <w:pPr>
        <w:snapToGrid w:val="0"/>
        <w:spacing w:line="600" w:lineRule="exact"/>
        <w:ind w:firstLine="640" w:firstLineChars="200"/>
        <w:rPr>
          <w:rFonts w:ascii="仿宋_GB2312" w:eastAsia="仿宋_GB2312"/>
          <w:b/>
          <w:sz w:val="32"/>
          <w:szCs w:val="32"/>
        </w:rPr>
      </w:pPr>
      <w:r>
        <w:rPr>
          <w:rFonts w:hint="eastAsia" w:ascii="仿宋_GB2312" w:eastAsia="仿宋_GB2312"/>
          <w:sz w:val="32"/>
          <w:szCs w:val="32"/>
        </w:rPr>
        <w:t>2.</w:t>
      </w:r>
      <w:r>
        <w:rPr>
          <w:rFonts w:hint="eastAsia" w:ascii="仿宋_GB2312" w:hAnsi="楷体" w:eastAsia="仿宋_GB2312"/>
          <w:sz w:val="32"/>
          <w:szCs w:val="32"/>
        </w:rPr>
        <w:t>部门预算绩效管理理念和认识有待加强。</w:t>
      </w:r>
      <w:r>
        <w:rPr>
          <w:rFonts w:hint="eastAsia" w:ascii="仿宋_GB2312" w:eastAsia="仿宋_GB2312"/>
          <w:sz w:val="32"/>
          <w:szCs w:val="32"/>
        </w:rPr>
        <w:t>市水利局及下属单位还未将绩效管理思想完全融入到预算编制和预算执行工作中去，主要体现为预算绩效目标编制不够精准，预算执行进度滞后，</w:t>
      </w:r>
      <w:r>
        <w:rPr>
          <w:rFonts w:hint="eastAsia" w:ascii="仿宋_GB2312" w:hAnsi="仿宋_GB2312" w:eastAsia="仿宋_GB2312" w:cs="仿宋_GB2312"/>
          <w:sz w:val="32"/>
          <w:szCs w:val="32"/>
        </w:rPr>
        <w:t>绩效运行监控实施不到位</w:t>
      </w:r>
      <w:r>
        <w:rPr>
          <w:rFonts w:hint="eastAsia" w:ascii="仿宋_GB2312" w:eastAsia="仿宋_GB2312"/>
          <w:sz w:val="32"/>
          <w:szCs w:val="32"/>
        </w:rPr>
        <w:t>、绩效自评体系不完善等方面。</w:t>
      </w:r>
    </w:p>
    <w:p>
      <w:pPr>
        <w:snapToGrid w:val="0"/>
        <w:spacing w:line="600" w:lineRule="exact"/>
        <w:ind w:firstLine="643" w:firstLineChars="200"/>
        <w:rPr>
          <w:rFonts w:ascii="楷体" w:hAnsi="楷体" w:eastAsia="楷体"/>
          <w:b/>
          <w:sz w:val="32"/>
          <w:szCs w:val="32"/>
        </w:rPr>
      </w:pPr>
      <w:r>
        <w:rPr>
          <w:rFonts w:hint="eastAsia" w:ascii="楷体" w:hAnsi="楷体" w:eastAsia="楷体"/>
          <w:b/>
          <w:sz w:val="32"/>
          <w:szCs w:val="32"/>
        </w:rPr>
        <w:t>（三）工作建议</w:t>
      </w:r>
    </w:p>
    <w:p>
      <w:pPr>
        <w:snapToGrid w:val="0"/>
        <w:spacing w:line="600" w:lineRule="exact"/>
        <w:ind w:firstLine="716" w:firstLineChars="224"/>
        <w:rPr>
          <w:rFonts w:ascii="仿宋_GB2312" w:hAnsi="Times New Roman" w:eastAsia="仿宋_GB2312" w:cs="Times New Roman"/>
          <w:sz w:val="32"/>
          <w:szCs w:val="32"/>
        </w:rPr>
      </w:pPr>
      <w:r>
        <w:rPr>
          <w:rFonts w:hint="eastAsia" w:ascii="仿宋_GB2312" w:hAnsi="Times New Roman" w:eastAsia="仿宋_GB2312" w:cs="Times New Roman"/>
          <w:sz w:val="32"/>
          <w:szCs w:val="32"/>
        </w:rPr>
        <w:t>1.科学编制部门预算和绩效目标</w:t>
      </w:r>
    </w:p>
    <w:p>
      <w:pPr>
        <w:snapToGrid w:val="0"/>
        <w:spacing w:line="600" w:lineRule="exact"/>
        <w:ind w:firstLine="716" w:firstLineChars="224"/>
        <w:rPr>
          <w:rFonts w:ascii="仿宋_GB2312" w:hAnsi="Times New Roman" w:eastAsia="仿宋_GB2312" w:cs="Times New Roman"/>
          <w:sz w:val="32"/>
          <w:szCs w:val="32"/>
        </w:rPr>
      </w:pPr>
      <w:r>
        <w:rPr>
          <w:rFonts w:hint="eastAsia" w:ascii="仿宋_GB2312" w:hAnsi="Times New Roman" w:eastAsia="仿宋_GB2312" w:cs="Times New Roman"/>
          <w:sz w:val="32"/>
          <w:szCs w:val="32"/>
        </w:rPr>
        <w:t>部门预算编制应依据充分、测算过程明确具体，特别是应加大项目编制的前期论证，进一步提高预算编制的准确性，减少因预算执行偏差导致财政资金绩效低下；同时，部门应结合实际工作，编制项目预算年度执行计划</w:t>
      </w:r>
      <w:r>
        <w:rPr>
          <w:rFonts w:hint="eastAsia" w:ascii="仿宋_GB2312" w:hAnsi="仿宋" w:eastAsia="仿宋_GB2312"/>
          <w:sz w:val="32"/>
          <w:szCs w:val="32"/>
          <w:lang w:val="zh-CN"/>
        </w:rPr>
        <w:t>，有序、及时推进项目实施，</w:t>
      </w:r>
      <w:r>
        <w:rPr>
          <w:rFonts w:hint="eastAsia" w:ascii="仿宋_GB2312" w:hAnsi="Times New Roman" w:eastAsia="仿宋_GB2312" w:cs="Times New Roman"/>
          <w:sz w:val="32"/>
          <w:szCs w:val="32"/>
        </w:rPr>
        <w:t>提高预算执行进度和均衡性，</w:t>
      </w:r>
      <w:r>
        <w:rPr>
          <w:rFonts w:hint="eastAsia" w:ascii="仿宋_GB2312" w:hAnsi="仿宋" w:eastAsia="仿宋_GB2312"/>
          <w:sz w:val="32"/>
          <w:szCs w:val="32"/>
          <w:lang w:val="zh-CN"/>
        </w:rPr>
        <w:t>确保部门职能高效履行。</w:t>
      </w:r>
    </w:p>
    <w:p>
      <w:pPr>
        <w:snapToGrid w:val="0"/>
        <w:spacing w:line="600" w:lineRule="exact"/>
        <w:ind w:firstLine="716" w:firstLineChars="224"/>
        <w:rPr>
          <w:rFonts w:ascii="仿宋_GB2312" w:hAnsi="Times New Roman" w:eastAsia="仿宋_GB2312" w:cs="Times New Roman"/>
          <w:sz w:val="32"/>
          <w:szCs w:val="32"/>
        </w:rPr>
      </w:pPr>
      <w:r>
        <w:rPr>
          <w:rFonts w:hint="eastAsia" w:ascii="仿宋_GB2312" w:hAnsi="Times New Roman" w:eastAsia="仿宋_GB2312" w:cs="Times New Roman"/>
          <w:sz w:val="32"/>
          <w:szCs w:val="32"/>
        </w:rPr>
        <w:t>绩效目标是全面实施预算绩效管理的基础，科学合理的目标是衡量是否取得预期成效的前提。部门在设置和编制项目绩效目标时，应根据实际准确反映项目的绩效情况，编制的绩效目标尽可能量化且可衡量。</w:t>
      </w:r>
    </w:p>
    <w:p>
      <w:pPr>
        <w:snapToGrid w:val="0"/>
        <w:spacing w:line="600" w:lineRule="exact"/>
        <w:ind w:firstLine="716" w:firstLineChars="224"/>
        <w:rPr>
          <w:rFonts w:ascii="仿宋_GB2312" w:hAnsi="Times New Roman" w:eastAsia="仿宋_GB2312" w:cs="Times New Roman"/>
          <w:sz w:val="32"/>
          <w:szCs w:val="32"/>
        </w:rPr>
      </w:pPr>
      <w:r>
        <w:rPr>
          <w:rFonts w:hint="eastAsia" w:ascii="仿宋_GB2312" w:hAnsi="Times New Roman" w:eastAsia="仿宋_GB2312" w:cs="Times New Roman"/>
          <w:sz w:val="32"/>
          <w:szCs w:val="32"/>
        </w:rPr>
        <w:t>2. 完善绩效目标管控机制</w:t>
      </w:r>
    </w:p>
    <w:p>
      <w:pPr>
        <w:snapToGrid w:val="0"/>
        <w:spacing w:line="600" w:lineRule="exact"/>
        <w:ind w:firstLine="716" w:firstLineChars="224"/>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是加大绩效目标动态管控。对绩效目标进展情况进行动态实时跟踪监控，发现问题及时协商、及时处理、及时采取正确的补救措施，确保目标运行方向正确、进展顺利；二是建立绩效目标中期评估机制。对目标实施中期绩效开展评估，结合实际情况及时对绩效目标进行完善和调整，不断优化项目实施和管理，提高财政资金使用效益。</w:t>
      </w:r>
    </w:p>
    <w:p>
      <w:pPr>
        <w:snapToGrid w:val="0"/>
        <w:spacing w:line="600" w:lineRule="exact"/>
        <w:ind w:firstLine="640" w:firstLineChars="200"/>
        <w:rPr>
          <w:rFonts w:ascii="仿宋_GB2312" w:eastAsia="仿宋_GB2312"/>
          <w:b/>
          <w:sz w:val="32"/>
          <w:szCs w:val="32"/>
        </w:rPr>
      </w:pPr>
      <w:r>
        <w:rPr>
          <w:rFonts w:hint="eastAsia" w:ascii="仿宋_GB2312" w:eastAsia="仿宋_GB2312"/>
          <w:sz w:val="32"/>
          <w:szCs w:val="32"/>
        </w:rPr>
        <w:t>3.加大</w:t>
      </w:r>
      <w:r>
        <w:rPr>
          <w:rFonts w:hint="eastAsia" w:ascii="仿宋_GB2312" w:hAnsi="楷体" w:eastAsia="仿宋_GB2312"/>
          <w:sz w:val="32"/>
          <w:szCs w:val="32"/>
        </w:rPr>
        <w:t>预算绩效管理政策培训。加大对下属二级预算单位的预算绩效业务培训和政策辅导，将绩效管理理念贯穿到日常工作中，不断推进</w:t>
      </w:r>
      <w:r>
        <w:rPr>
          <w:rFonts w:hint="eastAsia" w:ascii="仿宋_GB2312" w:eastAsia="仿宋_GB2312"/>
          <w:sz w:val="32"/>
          <w:szCs w:val="32"/>
        </w:rPr>
        <w:t>预算编制和预算执行精细化管理。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altName w:val="Arial Unicode MS"/>
    <w:panose1 w:val="00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E0333"/>
    <w:rsid w:val="0002573E"/>
    <w:rsid w:val="000433D8"/>
    <w:rsid w:val="00054186"/>
    <w:rsid w:val="00056CBC"/>
    <w:rsid w:val="00067514"/>
    <w:rsid w:val="00096888"/>
    <w:rsid w:val="000A015B"/>
    <w:rsid w:val="000A1A93"/>
    <w:rsid w:val="000A404E"/>
    <w:rsid w:val="000A54AB"/>
    <w:rsid w:val="000D5C97"/>
    <w:rsid w:val="00101B4F"/>
    <w:rsid w:val="00102AC3"/>
    <w:rsid w:val="00140E53"/>
    <w:rsid w:val="00142DC9"/>
    <w:rsid w:val="00147E8B"/>
    <w:rsid w:val="00154026"/>
    <w:rsid w:val="00177E47"/>
    <w:rsid w:val="00184929"/>
    <w:rsid w:val="00237D02"/>
    <w:rsid w:val="0028764D"/>
    <w:rsid w:val="002A4529"/>
    <w:rsid w:val="003274B6"/>
    <w:rsid w:val="0035723C"/>
    <w:rsid w:val="0036440F"/>
    <w:rsid w:val="00385112"/>
    <w:rsid w:val="00391447"/>
    <w:rsid w:val="003B628A"/>
    <w:rsid w:val="003F551E"/>
    <w:rsid w:val="00426AC3"/>
    <w:rsid w:val="00434003"/>
    <w:rsid w:val="004730B3"/>
    <w:rsid w:val="00475741"/>
    <w:rsid w:val="005A71D0"/>
    <w:rsid w:val="00611108"/>
    <w:rsid w:val="006A5096"/>
    <w:rsid w:val="006B2A2B"/>
    <w:rsid w:val="006B75E4"/>
    <w:rsid w:val="00722D4E"/>
    <w:rsid w:val="008076DC"/>
    <w:rsid w:val="008353B9"/>
    <w:rsid w:val="00847BC2"/>
    <w:rsid w:val="008703E5"/>
    <w:rsid w:val="008B16CA"/>
    <w:rsid w:val="00910D01"/>
    <w:rsid w:val="00915BA7"/>
    <w:rsid w:val="00947D16"/>
    <w:rsid w:val="009A21BA"/>
    <w:rsid w:val="009D3389"/>
    <w:rsid w:val="009D4528"/>
    <w:rsid w:val="009D74AB"/>
    <w:rsid w:val="00A24000"/>
    <w:rsid w:val="00A9203C"/>
    <w:rsid w:val="00AE0B11"/>
    <w:rsid w:val="00AF2206"/>
    <w:rsid w:val="00AF39E3"/>
    <w:rsid w:val="00B01875"/>
    <w:rsid w:val="00B06B7A"/>
    <w:rsid w:val="00B35C9B"/>
    <w:rsid w:val="00B567E0"/>
    <w:rsid w:val="00BA31CA"/>
    <w:rsid w:val="00BA73AD"/>
    <w:rsid w:val="00BB4156"/>
    <w:rsid w:val="00BB594B"/>
    <w:rsid w:val="00BE0333"/>
    <w:rsid w:val="00C070D5"/>
    <w:rsid w:val="00C155FE"/>
    <w:rsid w:val="00C2179C"/>
    <w:rsid w:val="00C56441"/>
    <w:rsid w:val="00C641A9"/>
    <w:rsid w:val="00CB255D"/>
    <w:rsid w:val="00CC24A2"/>
    <w:rsid w:val="00CC454C"/>
    <w:rsid w:val="00CD6866"/>
    <w:rsid w:val="00CF4E1B"/>
    <w:rsid w:val="00D549A9"/>
    <w:rsid w:val="00DB53D5"/>
    <w:rsid w:val="00E35005"/>
    <w:rsid w:val="00E4070D"/>
    <w:rsid w:val="00E82E0B"/>
    <w:rsid w:val="00E94370"/>
    <w:rsid w:val="00EB60F8"/>
    <w:rsid w:val="00F47665"/>
    <w:rsid w:val="00FC6404"/>
    <w:rsid w:val="4AE2480B"/>
    <w:rsid w:val="7E8222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Char Char Char Char Char Char Char Char Char Char Char Char Char Char1 Char Char Char Char"/>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14</Pages>
  <Words>1072</Words>
  <Characters>6114</Characters>
  <Lines>50</Lines>
  <Paragraphs>14</Paragraphs>
  <TotalTime>0</TotalTime>
  <ScaleCrop>false</ScaleCrop>
  <LinksUpToDate>false</LinksUpToDate>
  <CharactersWithSpaces>7172</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2020-08-27T01:10:00Z</dcterms:created>
  <dc:creator>刘亚男</dc:creator>
  <cp:lastModifiedBy>付国翠</cp:lastModifiedBy>
  <dcterms:modified xsi:type="dcterms:W3CDTF">2020-09-02T07:45:18Z</dcterms:modified>
  <dc:title>攀枝花市水利局2019年部门预算整体绩效评价报告</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